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0922" w14:textId="77777777" w:rsidR="00D70244" w:rsidRPr="00C5478C" w:rsidRDefault="00D70244" w:rsidP="00D70244">
      <w:pPr>
        <w:pStyle w:val="Heading2"/>
        <w:jc w:val="center"/>
        <w:rPr>
          <w:rFonts w:ascii="Calibri" w:hAnsi="Calibri"/>
          <w:b w:val="0"/>
        </w:rPr>
      </w:pPr>
    </w:p>
    <w:p w14:paraId="431458D6" w14:textId="77777777" w:rsidR="003A3F2F" w:rsidRPr="003A3F2F" w:rsidRDefault="003A3F2F" w:rsidP="003A3F2F"/>
    <w:p w14:paraId="7EA0F064" w14:textId="55F38F4C" w:rsidR="00D93C6B" w:rsidRPr="006F2B37" w:rsidRDefault="005D2ABF" w:rsidP="00D93C6B">
      <w:pPr>
        <w:jc w:val="center"/>
        <w:rPr>
          <w:rStyle w:val="BookTitle"/>
          <w:color w:val="FF0000"/>
          <w:sz w:val="36"/>
        </w:rPr>
      </w:pPr>
      <w:bookmarkStart w:id="0" w:name="_Toc442138302"/>
      <w:bookmarkStart w:id="1" w:name="_Toc442138338"/>
      <w:bookmarkStart w:id="2" w:name="_Toc412556721"/>
      <w:r w:rsidRPr="006F2B37">
        <w:rPr>
          <w:rStyle w:val="BookTitle"/>
          <w:color w:val="FF0000"/>
          <w:sz w:val="36"/>
        </w:rPr>
        <w:t xml:space="preserve"> </w:t>
      </w:r>
      <w:r w:rsidR="00191460" w:rsidRPr="006F2B37">
        <w:rPr>
          <w:rStyle w:val="BookTitle"/>
          <w:color w:val="FF0000"/>
          <w:sz w:val="36"/>
        </w:rPr>
        <w:t xml:space="preserve">Access to Justice and </w:t>
      </w:r>
      <w:r w:rsidR="00D70244" w:rsidRPr="006F2B37">
        <w:rPr>
          <w:rStyle w:val="BookTitle"/>
          <w:color w:val="FF0000"/>
          <w:sz w:val="36"/>
        </w:rPr>
        <w:t>Effective Remedies</w:t>
      </w:r>
      <w:r w:rsidR="00191460" w:rsidRPr="006F2B37">
        <w:rPr>
          <w:rStyle w:val="BookTitle"/>
          <w:color w:val="FF0000"/>
          <w:sz w:val="36"/>
        </w:rPr>
        <w:t xml:space="preserve"> For</w:t>
      </w:r>
      <w:r w:rsidR="00D70244" w:rsidRPr="006F2B37">
        <w:rPr>
          <w:rStyle w:val="BookTitle"/>
          <w:color w:val="FF0000"/>
          <w:sz w:val="36"/>
        </w:rPr>
        <w:t xml:space="preserve"> </w:t>
      </w:r>
    </w:p>
    <w:p w14:paraId="7F3326AF" w14:textId="7BCD46A0" w:rsidR="00D70244" w:rsidRPr="006F2B37" w:rsidRDefault="007903F6" w:rsidP="00D93C6B">
      <w:pPr>
        <w:jc w:val="center"/>
        <w:rPr>
          <w:rStyle w:val="BookTitle"/>
          <w:color w:val="FF0000"/>
          <w:sz w:val="36"/>
        </w:rPr>
      </w:pPr>
      <w:bookmarkStart w:id="3" w:name="_Toc442138303"/>
      <w:bookmarkStart w:id="4" w:name="_Toc442138339"/>
      <w:bookmarkEnd w:id="0"/>
      <w:bookmarkEnd w:id="1"/>
      <w:r w:rsidRPr="006F2B37">
        <w:rPr>
          <w:rStyle w:val="BookTitle"/>
          <w:color w:val="FF0000"/>
          <w:sz w:val="36"/>
        </w:rPr>
        <w:t xml:space="preserve">Economic, Social and Cultural Rights </w:t>
      </w:r>
      <w:r w:rsidR="00D70244" w:rsidRPr="006F2B37">
        <w:rPr>
          <w:rStyle w:val="BookTitle"/>
          <w:color w:val="FF0000"/>
          <w:sz w:val="36"/>
        </w:rPr>
        <w:t>in Canada</w:t>
      </w:r>
      <w:bookmarkEnd w:id="2"/>
      <w:bookmarkEnd w:id="3"/>
      <w:bookmarkEnd w:id="4"/>
    </w:p>
    <w:p w14:paraId="2921627C" w14:textId="77777777" w:rsidR="00D70244" w:rsidRPr="00812C93" w:rsidRDefault="00D70244" w:rsidP="00D70244">
      <w:pPr>
        <w:rPr>
          <w:color w:val="1F497D"/>
        </w:rPr>
      </w:pPr>
    </w:p>
    <w:p w14:paraId="524B60FD" w14:textId="6985BACA" w:rsidR="006F2B37" w:rsidRDefault="00725ACA" w:rsidP="006F2B37">
      <w:pPr>
        <w:jc w:val="right"/>
      </w:pPr>
      <w:r>
        <w:rPr>
          <w:rFonts w:cs="Calibri"/>
          <w:b/>
          <w:color w:val="1F497D"/>
        </w:rPr>
        <w:t>February 7, 2020</w:t>
      </w:r>
      <w:r w:rsidR="00D70244">
        <w:rPr>
          <w:rFonts w:cs="Calibri"/>
          <w:b/>
        </w:rPr>
        <w:br/>
      </w:r>
    </w:p>
    <w:p w14:paraId="2B6FE151" w14:textId="7F431C0D" w:rsidR="003227BE" w:rsidRPr="00770AAB" w:rsidRDefault="003227BE" w:rsidP="00770AAB">
      <w:pPr>
        <w:jc w:val="right"/>
        <w:rPr>
          <w:rFonts w:cs="Calibri"/>
          <w:b/>
          <w:color w:val="1F497D"/>
        </w:rPr>
        <w:sectPr w:rsidR="003227BE" w:rsidRPr="00770AAB" w:rsidSect="00D70244">
          <w:endnotePr>
            <w:numFmt w:val="decimal"/>
          </w:endnotePr>
          <w:pgSz w:w="12240" w:h="15840" w:code="1"/>
          <w:pgMar w:top="1152" w:right="1152" w:bottom="1440" w:left="1152" w:header="720" w:footer="720" w:gutter="0"/>
          <w:pgNumType w:start="0"/>
          <w:cols w:space="720"/>
          <w:titlePg/>
          <w:docGrid w:linePitch="360"/>
        </w:sectPr>
      </w:pPr>
    </w:p>
    <w:p w14:paraId="517D3583" w14:textId="1676E989" w:rsidR="001A180E" w:rsidRPr="00DC44A5" w:rsidRDefault="001A180E" w:rsidP="00DC44A5"/>
    <w:p w14:paraId="4B7AC92B" w14:textId="17CF795B" w:rsidR="009D16DC" w:rsidRPr="00B604D1" w:rsidRDefault="009D16DC" w:rsidP="002D167E">
      <w:pPr>
        <w:pStyle w:val="Heading2"/>
        <w:numPr>
          <w:ilvl w:val="0"/>
          <w:numId w:val="18"/>
        </w:numPr>
      </w:pPr>
      <w:bookmarkStart w:id="5" w:name="_Toc442138307"/>
      <w:bookmarkStart w:id="6" w:name="_Toc442138343"/>
      <w:bookmarkStart w:id="7" w:name="_Toc32279494"/>
      <w:bookmarkStart w:id="8" w:name="_Toc115198214"/>
      <w:r w:rsidRPr="00B604D1">
        <w:t>INTRODUCTION</w:t>
      </w:r>
      <w:bookmarkEnd w:id="5"/>
      <w:bookmarkEnd w:id="6"/>
      <w:bookmarkEnd w:id="7"/>
      <w:bookmarkEnd w:id="8"/>
    </w:p>
    <w:p w14:paraId="408443A6" w14:textId="77777777" w:rsidR="00B53B3A" w:rsidRPr="00B53B3A" w:rsidRDefault="00B53B3A" w:rsidP="00B53B3A"/>
    <w:p w14:paraId="2D2406A8" w14:textId="78536B83" w:rsidR="003A3F2F" w:rsidRDefault="00B53B3A" w:rsidP="00B604D1">
      <w:pPr>
        <w:pStyle w:val="Heading2"/>
        <w:numPr>
          <w:ilvl w:val="0"/>
          <w:numId w:val="4"/>
        </w:numPr>
        <w:rPr>
          <w:color w:val="0070C0"/>
          <w:sz w:val="24"/>
          <w:szCs w:val="24"/>
        </w:rPr>
      </w:pPr>
      <w:bookmarkStart w:id="9" w:name="_Toc32279495"/>
      <w:bookmarkStart w:id="10" w:name="_Toc115198215"/>
      <w:r w:rsidRPr="00B604D1">
        <w:rPr>
          <w:color w:val="0070C0"/>
          <w:sz w:val="24"/>
          <w:szCs w:val="24"/>
        </w:rPr>
        <w:t>Who we are:</w:t>
      </w:r>
      <w:bookmarkEnd w:id="9"/>
      <w:bookmarkEnd w:id="10"/>
    </w:p>
    <w:p w14:paraId="33506E49" w14:textId="77777777" w:rsidR="00B604D1" w:rsidRPr="00B604D1" w:rsidRDefault="00B604D1" w:rsidP="00B604D1"/>
    <w:p w14:paraId="1CE76B3C" w14:textId="12683C00" w:rsidR="0020765D" w:rsidRDefault="00356D40" w:rsidP="00B53B3A">
      <w:pPr>
        <w:rPr>
          <w:rFonts w:cs="Arial"/>
          <w:i/>
        </w:rPr>
      </w:pPr>
      <w:r w:rsidRPr="0098577A">
        <w:rPr>
          <w:rFonts w:cs="Arial"/>
          <w:b/>
          <w:i/>
        </w:rPr>
        <w:t xml:space="preserve">The Social Rights Advocacy Centre </w:t>
      </w:r>
      <w:r w:rsidR="00C57458" w:rsidRPr="0098577A">
        <w:rPr>
          <w:rFonts w:cs="Arial"/>
          <w:b/>
          <w:i/>
        </w:rPr>
        <w:t>(SRAC)</w:t>
      </w:r>
      <w:r w:rsidR="008D2E4E">
        <w:rPr>
          <w:rStyle w:val="FootnoteReference"/>
          <w:rFonts w:cs="Arial"/>
          <w:b/>
          <w:i/>
        </w:rPr>
        <w:footnoteReference w:id="1"/>
      </w:r>
      <w:r w:rsidR="00C57458" w:rsidRPr="0098577A">
        <w:rPr>
          <w:rFonts w:cs="Arial"/>
          <w:i/>
        </w:rPr>
        <w:t xml:space="preserve"> </w:t>
      </w:r>
      <w:r w:rsidRPr="0098577A">
        <w:rPr>
          <w:rFonts w:cs="Arial"/>
          <w:i/>
        </w:rPr>
        <w:t>is a non-profit N</w:t>
      </w:r>
      <w:r w:rsidR="00C57458" w:rsidRPr="0098577A">
        <w:rPr>
          <w:rFonts w:cs="Arial"/>
          <w:i/>
        </w:rPr>
        <w:t>GO formed in 2002 for</w:t>
      </w:r>
      <w:r w:rsidR="00392844" w:rsidRPr="0098577A">
        <w:rPr>
          <w:rFonts w:cs="Arial"/>
          <w:i/>
        </w:rPr>
        <w:t xml:space="preserve"> the purpose of </w:t>
      </w:r>
      <w:r w:rsidR="00603BB9" w:rsidRPr="0098577A">
        <w:rPr>
          <w:rFonts w:cs="Arial"/>
          <w:i/>
        </w:rPr>
        <w:t xml:space="preserve">ensuring the equal enjoyment of economic, </w:t>
      </w:r>
      <w:proofErr w:type="gramStart"/>
      <w:r w:rsidR="00603BB9" w:rsidRPr="0098577A">
        <w:rPr>
          <w:rFonts w:cs="Arial"/>
          <w:i/>
        </w:rPr>
        <w:t>social</w:t>
      </w:r>
      <w:proofErr w:type="gramEnd"/>
      <w:r w:rsidR="00603BB9" w:rsidRPr="0098577A">
        <w:rPr>
          <w:rFonts w:cs="Arial"/>
          <w:i/>
        </w:rPr>
        <w:t xml:space="preserve"> and cultural rights </w:t>
      </w:r>
      <w:r w:rsidR="00392844" w:rsidRPr="0098577A">
        <w:rPr>
          <w:rFonts w:cs="Arial"/>
          <w:i/>
        </w:rPr>
        <w:t>through human rights research, public education and legal advocacy.</w:t>
      </w:r>
      <w:r w:rsidR="00603BB9" w:rsidRPr="0098577A">
        <w:rPr>
          <w:rFonts w:cs="Arial"/>
          <w:i/>
        </w:rPr>
        <w:t xml:space="preserve">  </w:t>
      </w:r>
      <w:r w:rsidR="007A22C8">
        <w:rPr>
          <w:rFonts w:cs="Arial"/>
          <w:i/>
        </w:rPr>
        <w:t xml:space="preserve"> </w:t>
      </w:r>
      <w:r w:rsidR="00367CFE" w:rsidRPr="0098577A">
        <w:rPr>
          <w:rFonts w:cs="Arial"/>
          <w:i/>
        </w:rPr>
        <w:t xml:space="preserve">SRAC </w:t>
      </w:r>
      <w:r w:rsidR="00603BB9" w:rsidRPr="0098577A">
        <w:rPr>
          <w:rFonts w:cs="Arial"/>
          <w:i/>
        </w:rPr>
        <w:t>produces extensive research and publications on social rights</w:t>
      </w:r>
      <w:r w:rsidR="0077779F">
        <w:rPr>
          <w:rFonts w:cs="Arial"/>
          <w:i/>
        </w:rPr>
        <w:t>.</w:t>
      </w:r>
    </w:p>
    <w:p w14:paraId="054BA43A" w14:textId="77777777" w:rsidR="00E320C5" w:rsidRPr="003A6D06" w:rsidRDefault="00E320C5" w:rsidP="00B53B3A">
      <w:pPr>
        <w:rPr>
          <w:rFonts w:cs="Arial"/>
          <w:i/>
        </w:rPr>
      </w:pPr>
    </w:p>
    <w:p w14:paraId="77488674" w14:textId="5582A7B6" w:rsidR="00E543F2" w:rsidRPr="00B604D1" w:rsidRDefault="00E543F2" w:rsidP="00B604D1">
      <w:pPr>
        <w:pStyle w:val="Heading2"/>
        <w:numPr>
          <w:ilvl w:val="0"/>
          <w:numId w:val="4"/>
        </w:numPr>
        <w:rPr>
          <w:color w:val="0070C0"/>
          <w:sz w:val="24"/>
          <w:szCs w:val="24"/>
        </w:rPr>
      </w:pPr>
      <w:bookmarkStart w:id="11" w:name="_Toc32279496"/>
      <w:bookmarkStart w:id="12" w:name="_Toc115198216"/>
      <w:r w:rsidRPr="00B604D1">
        <w:rPr>
          <w:color w:val="0070C0"/>
          <w:sz w:val="24"/>
          <w:szCs w:val="24"/>
        </w:rPr>
        <w:t>Overview</w:t>
      </w:r>
      <w:r w:rsidR="000B30B3" w:rsidRPr="00B604D1">
        <w:rPr>
          <w:color w:val="0070C0"/>
          <w:sz w:val="24"/>
          <w:szCs w:val="24"/>
        </w:rPr>
        <w:t xml:space="preserve">. </w:t>
      </w:r>
      <w:r w:rsidRPr="00B604D1">
        <w:rPr>
          <w:color w:val="0070C0"/>
          <w:sz w:val="24"/>
          <w:szCs w:val="24"/>
        </w:rPr>
        <w:t>Domestic Implementation of the Covenant in the Canadian Legal System.</w:t>
      </w:r>
      <w:bookmarkEnd w:id="11"/>
      <w:bookmarkEnd w:id="12"/>
      <w:r w:rsidRPr="00B604D1">
        <w:rPr>
          <w:color w:val="0070C0"/>
          <w:sz w:val="24"/>
          <w:szCs w:val="24"/>
        </w:rPr>
        <w:t xml:space="preserve"> </w:t>
      </w:r>
    </w:p>
    <w:p w14:paraId="1068DEF7" w14:textId="77777777" w:rsidR="005B5B58" w:rsidRPr="00565DD7" w:rsidRDefault="005B5B58" w:rsidP="005B5B58">
      <w:pPr>
        <w:pStyle w:val="ListParagraph"/>
        <w:ind w:left="1080"/>
        <w:rPr>
          <w:rFonts w:cs="Arial"/>
          <w:b/>
        </w:rPr>
      </w:pPr>
    </w:p>
    <w:p w14:paraId="00951C0F" w14:textId="77777777" w:rsidR="00CE1175" w:rsidRDefault="00027ADA" w:rsidP="009B7592">
      <w:pPr>
        <w:pStyle w:val="ListParagraph"/>
        <w:numPr>
          <w:ilvl w:val="0"/>
          <w:numId w:val="14"/>
        </w:numPr>
        <w:ind w:left="0" w:firstLine="0"/>
        <w:rPr>
          <w:rFonts w:cs="Arial"/>
        </w:rPr>
      </w:pPr>
      <w:r w:rsidRPr="005B5B58">
        <w:rPr>
          <w:rFonts w:cs="Arial"/>
        </w:rPr>
        <w:t>Canada is a dualist cou</w:t>
      </w:r>
      <w:r w:rsidR="00AB3E17" w:rsidRPr="005B5B58">
        <w:rPr>
          <w:rFonts w:cs="Arial"/>
        </w:rPr>
        <w:t>ntry and a constitutional democra</w:t>
      </w:r>
      <w:r w:rsidR="00725ACA" w:rsidRPr="005B5B58">
        <w:rPr>
          <w:rFonts w:cs="Arial"/>
        </w:rPr>
        <w:t>c</w:t>
      </w:r>
      <w:r w:rsidR="00AB3E17" w:rsidRPr="005B5B58">
        <w:rPr>
          <w:rFonts w:cs="Arial"/>
        </w:rPr>
        <w:t>y.</w:t>
      </w:r>
      <w:r w:rsidR="00575FA8" w:rsidRPr="005B5B58">
        <w:rPr>
          <w:rFonts w:cs="Arial"/>
        </w:rPr>
        <w:t xml:space="preserve">  Access to justice for ESC rights</w:t>
      </w:r>
      <w:r w:rsidR="00B53B3A" w:rsidRPr="005B5B58">
        <w:rPr>
          <w:rFonts w:cs="Arial"/>
        </w:rPr>
        <w:t xml:space="preserve"> </w:t>
      </w:r>
      <w:r w:rsidR="00575FA8" w:rsidRPr="005B5B58">
        <w:rPr>
          <w:rFonts w:cs="Arial"/>
        </w:rPr>
        <w:t xml:space="preserve">relies on the interpretation </w:t>
      </w:r>
      <w:r w:rsidR="00AB3E17" w:rsidRPr="005B5B58">
        <w:rPr>
          <w:rFonts w:cs="Arial"/>
        </w:rPr>
        <w:t>and application of domestic law, particularly the Canadian Charter of Rights and Freedoms</w:t>
      </w:r>
      <w:r w:rsidR="00725ACA" w:rsidRPr="005B5B58">
        <w:rPr>
          <w:rFonts w:cs="Arial"/>
        </w:rPr>
        <w:t xml:space="preserve"> (Canadian Charter)</w:t>
      </w:r>
      <w:r w:rsidR="00A945A5" w:rsidRPr="005B5B58">
        <w:rPr>
          <w:rFonts w:cs="Arial"/>
        </w:rPr>
        <w:t xml:space="preserve"> consistent with international human rights ratified by Canada</w:t>
      </w:r>
      <w:r w:rsidR="000954BB" w:rsidRPr="005B5B58">
        <w:rPr>
          <w:rFonts w:cs="Arial"/>
        </w:rPr>
        <w:t>.</w:t>
      </w:r>
      <w:r w:rsidR="00A945A5" w:rsidRPr="005B5B58">
        <w:rPr>
          <w:rFonts w:cs="Arial"/>
        </w:rPr>
        <w:t xml:space="preserve"> </w:t>
      </w:r>
    </w:p>
    <w:p w14:paraId="47D11FBD" w14:textId="5DD99E27" w:rsidR="005B5B58" w:rsidRDefault="00A945A5" w:rsidP="009B7592">
      <w:pPr>
        <w:pStyle w:val="ListParagraph"/>
        <w:numPr>
          <w:ilvl w:val="0"/>
          <w:numId w:val="14"/>
        </w:numPr>
        <w:ind w:left="0" w:firstLine="0"/>
        <w:rPr>
          <w:rFonts w:cs="Arial"/>
        </w:rPr>
      </w:pPr>
      <w:r w:rsidRPr="005B5B58">
        <w:rPr>
          <w:rFonts w:cs="Arial"/>
        </w:rPr>
        <w:t>This interpretative obligation of courts</w:t>
      </w:r>
      <w:r w:rsidR="000B5147" w:rsidRPr="005B5B58">
        <w:rPr>
          <w:rFonts w:cs="Arial"/>
        </w:rPr>
        <w:t xml:space="preserve">, as described by the CESCR in General Comment No. 9, </w:t>
      </w:r>
      <w:r w:rsidRPr="005B5B58">
        <w:rPr>
          <w:rFonts w:cs="Arial"/>
        </w:rPr>
        <w:t>has been affirmed by the Supreme Court of Canada, first in t</w:t>
      </w:r>
      <w:r w:rsidR="00125141" w:rsidRPr="005B5B58">
        <w:rPr>
          <w:rFonts w:cs="Arial"/>
        </w:rPr>
        <w:t>he case of</w:t>
      </w:r>
      <w:r w:rsidRPr="005B5B58">
        <w:rPr>
          <w:rFonts w:cs="Arial"/>
        </w:rPr>
        <w:t xml:space="preserve"> </w:t>
      </w:r>
      <w:proofErr w:type="spellStart"/>
      <w:r w:rsidRPr="005B5B58">
        <w:rPr>
          <w:rFonts w:cs="Arial"/>
          <w:i/>
          <w:iCs/>
        </w:rPr>
        <w:t>Slaight</w:t>
      </w:r>
      <w:proofErr w:type="spellEnd"/>
      <w:r w:rsidRPr="005B5B58">
        <w:rPr>
          <w:rFonts w:cs="Arial"/>
          <w:i/>
          <w:iCs/>
        </w:rPr>
        <w:t xml:space="preserve"> Communications </w:t>
      </w:r>
      <w:r w:rsidR="00125141" w:rsidRPr="005B5B58">
        <w:rPr>
          <w:rFonts w:cs="Arial"/>
          <w:i/>
          <w:iCs/>
        </w:rPr>
        <w:t>v Davidson</w:t>
      </w:r>
      <w:r w:rsidRPr="005B5B58">
        <w:rPr>
          <w:rFonts w:cs="Arial"/>
        </w:rPr>
        <w:t xml:space="preserve"> in</w:t>
      </w:r>
      <w:r w:rsidR="00682DC6">
        <w:rPr>
          <w:rFonts w:cs="Arial"/>
        </w:rPr>
        <w:t xml:space="preserve"> </w:t>
      </w:r>
      <w:r w:rsidRPr="005B5B58">
        <w:rPr>
          <w:rFonts w:cs="Arial"/>
        </w:rPr>
        <w:t>relation to the ICESCR</w:t>
      </w:r>
      <w:r>
        <w:rPr>
          <w:rStyle w:val="FootnoteReference"/>
          <w:rFonts w:cs="Arial"/>
        </w:rPr>
        <w:footnoteReference w:id="2"/>
      </w:r>
      <w:r w:rsidR="000E3005" w:rsidRPr="005B5B58">
        <w:rPr>
          <w:rFonts w:cs="Arial"/>
        </w:rPr>
        <w:t xml:space="preserve"> and in many subsequent </w:t>
      </w:r>
      <w:r w:rsidR="00682DC6">
        <w:rPr>
          <w:rFonts w:cs="Arial"/>
        </w:rPr>
        <w:t>decisions</w:t>
      </w:r>
      <w:r w:rsidR="000E3005" w:rsidRPr="005B5B58">
        <w:rPr>
          <w:rFonts w:cs="Arial"/>
        </w:rPr>
        <w:t>.</w:t>
      </w:r>
      <w:r w:rsidR="00E543F2" w:rsidRPr="005B5B58">
        <w:rPr>
          <w:rFonts w:cs="Arial"/>
        </w:rPr>
        <w:t xml:space="preserve"> </w:t>
      </w:r>
      <w:r w:rsidR="000E3005" w:rsidRPr="005B5B58">
        <w:rPr>
          <w:rFonts w:cs="Arial"/>
        </w:rPr>
        <w:t xml:space="preserve"> </w:t>
      </w:r>
      <w:r w:rsidR="00682DC6">
        <w:rPr>
          <w:rFonts w:cs="Arial"/>
        </w:rPr>
        <w:t xml:space="preserve"> The Court has stated that</w:t>
      </w:r>
      <w:r w:rsidR="00E320C5">
        <w:rPr>
          <w:rFonts w:cs="Arial"/>
        </w:rPr>
        <w:t>:</w:t>
      </w:r>
      <w:r w:rsidR="00682DC6">
        <w:rPr>
          <w:rFonts w:cs="Arial"/>
        </w:rPr>
        <w:t xml:space="preserve"> “</w:t>
      </w:r>
      <w:r w:rsidR="00682DC6" w:rsidRPr="00682DC6">
        <w:rPr>
          <w:rFonts w:cs="Arial"/>
        </w:rPr>
        <w:t>In interpreting the scope of application of the Charter, the courts should seek to ensure compliance with Canada’s binding obligations under international law where the express words are capable of supporting such a construction.</w:t>
      </w:r>
      <w:r w:rsidR="00BA5331">
        <w:rPr>
          <w:rFonts w:cs="Arial"/>
        </w:rPr>
        <w:t>”</w:t>
      </w:r>
      <w:r w:rsidR="00682DC6">
        <w:rPr>
          <w:rStyle w:val="FootnoteReference"/>
          <w:rFonts w:cs="Arial"/>
        </w:rPr>
        <w:footnoteReference w:id="3"/>
      </w:r>
    </w:p>
    <w:p w14:paraId="0A03C8FA" w14:textId="77777777" w:rsidR="005B5B58" w:rsidRPr="005B5B58" w:rsidRDefault="005B5B58" w:rsidP="005B5B58">
      <w:pPr>
        <w:pStyle w:val="ListParagraph"/>
        <w:ind w:left="0"/>
        <w:rPr>
          <w:rFonts w:cs="Arial"/>
        </w:rPr>
      </w:pPr>
    </w:p>
    <w:p w14:paraId="197FAEB8" w14:textId="77777777" w:rsidR="00CE1175" w:rsidRDefault="000954BB" w:rsidP="00760C74">
      <w:pPr>
        <w:pStyle w:val="ListParagraph"/>
        <w:numPr>
          <w:ilvl w:val="0"/>
          <w:numId w:val="14"/>
        </w:numPr>
        <w:ind w:left="0" w:firstLine="0"/>
        <w:rPr>
          <w:rFonts w:cs="Arial"/>
        </w:rPr>
      </w:pPr>
      <w:r w:rsidRPr="00BA5331">
        <w:rPr>
          <w:rFonts w:cs="Arial"/>
        </w:rPr>
        <w:t>B</w:t>
      </w:r>
      <w:r w:rsidR="000C7603" w:rsidRPr="00BA5331">
        <w:rPr>
          <w:rFonts w:cs="Arial"/>
        </w:rPr>
        <w:t>roadly framed rights</w:t>
      </w:r>
      <w:r w:rsidRPr="00BA5331">
        <w:rPr>
          <w:rFonts w:cs="Arial"/>
        </w:rPr>
        <w:t xml:space="preserve"> in the Canadian Charter </w:t>
      </w:r>
      <w:r w:rsidR="00AB3E17" w:rsidRPr="00BA5331">
        <w:rPr>
          <w:rFonts w:cs="Arial"/>
        </w:rPr>
        <w:t>to life and</w:t>
      </w:r>
      <w:r w:rsidR="000C7603" w:rsidRPr="00BA5331">
        <w:rPr>
          <w:rFonts w:cs="Arial"/>
        </w:rPr>
        <w:t xml:space="preserve"> security of the person</w:t>
      </w:r>
      <w:r w:rsidR="00AB3E17" w:rsidRPr="00BA5331">
        <w:rPr>
          <w:rFonts w:cs="Arial"/>
        </w:rPr>
        <w:t xml:space="preserve"> </w:t>
      </w:r>
      <w:r w:rsidR="00AB3E17" w:rsidRPr="00CE1175">
        <w:rPr>
          <w:rFonts w:cs="Arial"/>
          <w:color w:val="ED7D31" w:themeColor="accent2"/>
        </w:rPr>
        <w:t>(s. 7)</w:t>
      </w:r>
      <w:r w:rsidR="000C7603" w:rsidRPr="00CE1175">
        <w:rPr>
          <w:rFonts w:cs="Arial"/>
          <w:color w:val="ED7D31" w:themeColor="accent2"/>
        </w:rPr>
        <w:t xml:space="preserve"> </w:t>
      </w:r>
      <w:r w:rsidR="000C7603" w:rsidRPr="00BA5331">
        <w:rPr>
          <w:rFonts w:cs="Arial"/>
        </w:rPr>
        <w:t xml:space="preserve">and </w:t>
      </w:r>
      <w:r w:rsidR="00BA5331" w:rsidRPr="00BA5331">
        <w:rPr>
          <w:rFonts w:cs="Arial"/>
        </w:rPr>
        <w:t>to equality</w:t>
      </w:r>
      <w:r w:rsidR="00AB3E17" w:rsidRPr="00BA5331">
        <w:rPr>
          <w:rFonts w:cs="Arial"/>
        </w:rPr>
        <w:t xml:space="preserve"> </w:t>
      </w:r>
      <w:r w:rsidR="00AB3E17" w:rsidRPr="00CE1175">
        <w:rPr>
          <w:rFonts w:cs="Arial"/>
          <w:color w:val="ED7D31" w:themeColor="accent2"/>
        </w:rPr>
        <w:t>(s.15)</w:t>
      </w:r>
      <w:r w:rsidR="000C7603" w:rsidRPr="00CE1175">
        <w:rPr>
          <w:rFonts w:cs="Arial"/>
          <w:color w:val="ED7D31" w:themeColor="accent2"/>
        </w:rPr>
        <w:t xml:space="preserve"> </w:t>
      </w:r>
      <w:r w:rsidR="00027ADA" w:rsidRPr="00BA5331">
        <w:rPr>
          <w:rFonts w:cs="Arial"/>
        </w:rPr>
        <w:t>can and</w:t>
      </w:r>
      <w:r w:rsidRPr="00BA5331">
        <w:rPr>
          <w:rFonts w:cs="Arial"/>
        </w:rPr>
        <w:t xml:space="preserve"> should be interpreted so as </w:t>
      </w:r>
      <w:r w:rsidR="006250EC" w:rsidRPr="00BA5331">
        <w:rPr>
          <w:rFonts w:cs="Arial"/>
        </w:rPr>
        <w:t>to</w:t>
      </w:r>
      <w:r w:rsidR="00E320C5">
        <w:rPr>
          <w:rFonts w:cs="Arial"/>
        </w:rPr>
        <w:t xml:space="preserve"> ensure compliance with the ICESCR, by</w:t>
      </w:r>
      <w:r w:rsidR="006250EC" w:rsidRPr="00BA5331">
        <w:rPr>
          <w:rFonts w:cs="Arial"/>
        </w:rPr>
        <w:t xml:space="preserve"> provid</w:t>
      </w:r>
      <w:r w:rsidR="00E320C5">
        <w:rPr>
          <w:rFonts w:cs="Arial"/>
        </w:rPr>
        <w:t>ing</w:t>
      </w:r>
      <w:r w:rsidR="006250EC" w:rsidRPr="00BA5331">
        <w:rPr>
          <w:rFonts w:cs="Arial"/>
        </w:rPr>
        <w:t xml:space="preserve"> effective </w:t>
      </w:r>
      <w:r w:rsidR="009E391A" w:rsidRPr="00BA5331">
        <w:rPr>
          <w:rFonts w:cs="Arial"/>
        </w:rPr>
        <w:t xml:space="preserve">systemic </w:t>
      </w:r>
      <w:r w:rsidR="006250EC" w:rsidRPr="00BA5331">
        <w:rPr>
          <w:rFonts w:cs="Arial"/>
        </w:rPr>
        <w:t>remedies</w:t>
      </w:r>
      <w:r w:rsidR="00BA5331" w:rsidRPr="00BA5331">
        <w:rPr>
          <w:rFonts w:cs="Arial"/>
        </w:rPr>
        <w:t xml:space="preserve"> </w:t>
      </w:r>
      <w:r w:rsidR="00BA5331" w:rsidRPr="00CE1175">
        <w:rPr>
          <w:rFonts w:cs="Arial"/>
          <w:color w:val="ED7D31" w:themeColor="accent2"/>
        </w:rPr>
        <w:t xml:space="preserve">when life or personal security is placed at risk </w:t>
      </w:r>
      <w:r w:rsidR="00BA5331" w:rsidRPr="00BA5331">
        <w:rPr>
          <w:rFonts w:cs="Arial"/>
        </w:rPr>
        <w:t xml:space="preserve">because of </w:t>
      </w:r>
      <w:r w:rsidR="00682DC6" w:rsidRPr="00BA5331">
        <w:rPr>
          <w:rFonts w:cs="Arial"/>
        </w:rPr>
        <w:t xml:space="preserve">homelessness, hunger or </w:t>
      </w:r>
      <w:r w:rsidR="003C6DDD" w:rsidRPr="00CE1175">
        <w:rPr>
          <w:rFonts w:cs="Arial"/>
          <w:color w:val="ED7D31" w:themeColor="accent2"/>
        </w:rPr>
        <w:t>denial of access to health care</w:t>
      </w:r>
      <w:r w:rsidR="000C7603" w:rsidRPr="00BA5331">
        <w:rPr>
          <w:rFonts w:cs="Arial"/>
        </w:rPr>
        <w:t>.</w:t>
      </w:r>
      <w:r w:rsidR="003C6DDD">
        <w:rPr>
          <w:rStyle w:val="FootnoteReference"/>
          <w:rFonts w:cs="Arial"/>
        </w:rPr>
        <w:footnoteReference w:id="4"/>
      </w:r>
      <w:r w:rsidR="006250EC" w:rsidRPr="00BA5331">
        <w:rPr>
          <w:rFonts w:cs="Arial"/>
        </w:rPr>
        <w:t xml:space="preserve"> </w:t>
      </w:r>
      <w:r w:rsidR="00CE3BA8" w:rsidRPr="00BA5331">
        <w:rPr>
          <w:rFonts w:cs="Arial"/>
        </w:rPr>
        <w:t xml:space="preserve">However, Canadian governments and courts have </w:t>
      </w:r>
      <w:r w:rsidR="003C6DDD" w:rsidRPr="00BA5331">
        <w:rPr>
          <w:rFonts w:cs="Arial"/>
        </w:rPr>
        <w:t>opposed</w:t>
      </w:r>
      <w:r w:rsidR="00CE3BA8" w:rsidRPr="00BA5331">
        <w:rPr>
          <w:rFonts w:cs="Arial"/>
        </w:rPr>
        <w:t xml:space="preserve"> interpretations</w:t>
      </w:r>
      <w:r w:rsidR="00BA5331" w:rsidRPr="00BA5331">
        <w:rPr>
          <w:rFonts w:cs="Arial"/>
        </w:rPr>
        <w:t xml:space="preserve"> of the Charter that would provide remedies to violations of ESC rights.  </w:t>
      </w:r>
    </w:p>
    <w:p w14:paraId="525E7D11" w14:textId="77777777" w:rsidR="00CE1175" w:rsidRPr="00CE1175" w:rsidRDefault="00CE1175" w:rsidP="00CE1175">
      <w:pPr>
        <w:pStyle w:val="ListParagraph"/>
        <w:rPr>
          <w:rFonts w:cs="Arial"/>
        </w:rPr>
      </w:pPr>
    </w:p>
    <w:p w14:paraId="59179921" w14:textId="370A1977" w:rsidR="0096271E" w:rsidRPr="00BA5331" w:rsidRDefault="00BA5331" w:rsidP="00760C74">
      <w:pPr>
        <w:pStyle w:val="ListParagraph"/>
        <w:numPr>
          <w:ilvl w:val="0"/>
          <w:numId w:val="14"/>
        </w:numPr>
        <w:ind w:left="0" w:firstLine="0"/>
        <w:rPr>
          <w:rFonts w:cs="Arial"/>
        </w:rPr>
      </w:pPr>
      <w:r w:rsidRPr="00BA5331">
        <w:rPr>
          <w:rFonts w:cs="Arial"/>
        </w:rPr>
        <w:t>They have</w:t>
      </w:r>
      <w:r w:rsidR="00565DD7" w:rsidRPr="00BA5331">
        <w:rPr>
          <w:rFonts w:cs="Arial"/>
        </w:rPr>
        <w:t xml:space="preserve"> assert</w:t>
      </w:r>
      <w:r w:rsidR="00E320C5">
        <w:rPr>
          <w:rFonts w:cs="Arial"/>
        </w:rPr>
        <w:t>ed</w:t>
      </w:r>
      <w:r w:rsidR="00565DD7" w:rsidRPr="00BA5331">
        <w:rPr>
          <w:rFonts w:cs="Arial"/>
        </w:rPr>
        <w:t xml:space="preserve"> </w:t>
      </w:r>
      <w:r w:rsidR="00CE3BA8" w:rsidRPr="00BA5331">
        <w:rPr>
          <w:rFonts w:cs="Arial"/>
        </w:rPr>
        <w:t>that ESC rights are non-justiciable</w:t>
      </w:r>
      <w:r w:rsidR="005C1BA0" w:rsidRPr="00BA5331">
        <w:rPr>
          <w:rFonts w:cs="Arial"/>
        </w:rPr>
        <w:t xml:space="preserve"> and therefor</w:t>
      </w:r>
      <w:r w:rsidR="001B7F73" w:rsidRPr="00BA5331">
        <w:rPr>
          <w:rFonts w:cs="Arial"/>
        </w:rPr>
        <w:t>e</w:t>
      </w:r>
      <w:r w:rsidR="003C6DDD" w:rsidRPr="00BA5331">
        <w:rPr>
          <w:rFonts w:cs="Arial"/>
        </w:rPr>
        <w:t xml:space="preserve"> Charter claims </w:t>
      </w:r>
      <w:r w:rsidR="005C1BA0" w:rsidRPr="00BA5331">
        <w:rPr>
          <w:rFonts w:cs="Arial"/>
        </w:rPr>
        <w:t xml:space="preserve">to </w:t>
      </w:r>
      <w:r w:rsidR="003C6DDD" w:rsidRPr="00BA5331">
        <w:rPr>
          <w:rFonts w:cs="Arial"/>
        </w:rPr>
        <w:t>positive measures to ensure access to housing or health care</w:t>
      </w:r>
      <w:r w:rsidR="005C1BA0" w:rsidRPr="00BA5331">
        <w:rPr>
          <w:rFonts w:cs="Arial"/>
        </w:rPr>
        <w:t xml:space="preserve"> as component of </w:t>
      </w:r>
      <w:r w:rsidR="003C6DDD" w:rsidRPr="00BA5331">
        <w:rPr>
          <w:rFonts w:cs="Arial"/>
        </w:rPr>
        <w:t xml:space="preserve">the right to life or equality must be </w:t>
      </w:r>
      <w:r w:rsidR="00126D0F" w:rsidRPr="00BA5331">
        <w:rPr>
          <w:rFonts w:cs="Arial"/>
        </w:rPr>
        <w:t xml:space="preserve">dismissed as </w:t>
      </w:r>
      <w:r w:rsidR="003C6DDD" w:rsidRPr="00BA5331">
        <w:rPr>
          <w:rFonts w:cs="Arial"/>
        </w:rPr>
        <w:t>non-justiciable.</w:t>
      </w:r>
      <w:r>
        <w:rPr>
          <w:rFonts w:cs="Arial"/>
        </w:rPr>
        <w:t xml:space="preserve"> </w:t>
      </w:r>
      <w:r w:rsidR="00CE3BA8" w:rsidRPr="00BA5331">
        <w:rPr>
          <w:rFonts w:cs="Arial"/>
        </w:rPr>
        <w:t xml:space="preserve"> </w:t>
      </w:r>
      <w:r w:rsidR="00355471" w:rsidRPr="00BA5331">
        <w:rPr>
          <w:rFonts w:cs="Arial"/>
        </w:rPr>
        <w:t xml:space="preserve">Rather than adopting interpretations of the right to life </w:t>
      </w:r>
      <w:r w:rsidR="00CE3BA8" w:rsidRPr="00BA5331">
        <w:rPr>
          <w:rFonts w:cs="Arial"/>
        </w:rPr>
        <w:t xml:space="preserve">and equality </w:t>
      </w:r>
      <w:r w:rsidR="00355471" w:rsidRPr="00BA5331">
        <w:rPr>
          <w:rFonts w:cs="Arial"/>
        </w:rPr>
        <w:t>consistent international human rights obligations under both the ICESCR and the ICCPR,</w:t>
      </w:r>
      <w:r w:rsidR="00CE3BA8" w:rsidRPr="00BA5331">
        <w:rPr>
          <w:rFonts w:cs="Arial"/>
        </w:rPr>
        <w:t xml:space="preserve"> gover</w:t>
      </w:r>
      <w:r w:rsidR="0096271E" w:rsidRPr="00BA5331">
        <w:rPr>
          <w:rFonts w:cs="Arial"/>
        </w:rPr>
        <w:t>n</w:t>
      </w:r>
      <w:r w:rsidR="00CE3BA8" w:rsidRPr="00BA5331">
        <w:rPr>
          <w:rFonts w:cs="Arial"/>
        </w:rPr>
        <w:t>ments have urged courts, with considerable success, to treat the two categories of rights as</w:t>
      </w:r>
      <w:r w:rsidR="001B7F73" w:rsidRPr="00BA5331">
        <w:rPr>
          <w:rFonts w:cs="Arial"/>
        </w:rPr>
        <w:t xml:space="preserve"> </w:t>
      </w:r>
      <w:r w:rsidR="00565DD7" w:rsidRPr="00BA5331">
        <w:rPr>
          <w:rFonts w:cs="Arial"/>
        </w:rPr>
        <w:t>entirely separate</w:t>
      </w:r>
      <w:r w:rsidR="0096271E" w:rsidRPr="00BA5331">
        <w:rPr>
          <w:rFonts w:cs="Arial"/>
        </w:rPr>
        <w:t>.</w:t>
      </w:r>
      <w:r w:rsidR="00ED06CA" w:rsidRPr="00BA5331">
        <w:rPr>
          <w:rFonts w:cs="Arial"/>
        </w:rPr>
        <w:t xml:space="preserve"> </w:t>
      </w:r>
    </w:p>
    <w:p w14:paraId="7F014E96" w14:textId="77777777" w:rsidR="001B7F73" w:rsidRDefault="001B7F73" w:rsidP="001B7F73">
      <w:pPr>
        <w:pStyle w:val="ListParagraph"/>
        <w:ind w:left="0"/>
        <w:rPr>
          <w:rFonts w:cs="Arial"/>
        </w:rPr>
      </w:pPr>
    </w:p>
    <w:p w14:paraId="73C5C99C" w14:textId="2460614B" w:rsidR="001B7F73" w:rsidRDefault="009E391A" w:rsidP="009B7592">
      <w:pPr>
        <w:pStyle w:val="ListParagraph"/>
        <w:numPr>
          <w:ilvl w:val="0"/>
          <w:numId w:val="14"/>
        </w:numPr>
        <w:ind w:left="0" w:firstLine="0"/>
        <w:rPr>
          <w:rFonts w:cs="Arial"/>
        </w:rPr>
      </w:pPr>
      <w:r w:rsidRPr="001B7F73">
        <w:rPr>
          <w:rFonts w:cs="Arial"/>
        </w:rPr>
        <w:t>It is hoped that the upcoming review of Canada will pr</w:t>
      </w:r>
      <w:r w:rsidR="00E320C5">
        <w:rPr>
          <w:rFonts w:cs="Arial"/>
        </w:rPr>
        <w:t>ovide an occasion for</w:t>
      </w:r>
      <w:r w:rsidRPr="001B7F73">
        <w:rPr>
          <w:rFonts w:cs="Arial"/>
        </w:rPr>
        <w:t xml:space="preserve"> a serious review of Canada’s position on the justiciability of ESC rights</w:t>
      </w:r>
      <w:r w:rsidR="0077779F" w:rsidRPr="001B7F73">
        <w:rPr>
          <w:rFonts w:cs="Arial"/>
        </w:rPr>
        <w:t xml:space="preserve"> and the interpretation of the </w:t>
      </w:r>
      <w:r w:rsidR="00565DD7" w:rsidRPr="001B7F73">
        <w:rPr>
          <w:rFonts w:cs="Arial"/>
        </w:rPr>
        <w:t xml:space="preserve">Canadian </w:t>
      </w:r>
      <w:r w:rsidR="0077779F" w:rsidRPr="001B7F73">
        <w:rPr>
          <w:rFonts w:cs="Arial"/>
        </w:rPr>
        <w:t>Charter in cases involving the interdependence of rights to life, security of the person and equality with ESC rights</w:t>
      </w:r>
      <w:r w:rsidR="00BA5331">
        <w:rPr>
          <w:rFonts w:cs="Arial"/>
        </w:rPr>
        <w:t xml:space="preserve"> such as the right to housing, food, social security, health and an adequate standard of living.</w:t>
      </w:r>
    </w:p>
    <w:p w14:paraId="579A7411" w14:textId="77777777" w:rsidR="001B7F73" w:rsidRPr="001B7F73" w:rsidRDefault="001B7F73" w:rsidP="001B7F73">
      <w:pPr>
        <w:pStyle w:val="ListParagraph"/>
        <w:ind w:left="0"/>
        <w:rPr>
          <w:rFonts w:cs="Arial"/>
        </w:rPr>
      </w:pPr>
    </w:p>
    <w:p w14:paraId="5A0CFC7C" w14:textId="77777777" w:rsidR="00E320C5" w:rsidRDefault="00ED06CA" w:rsidP="009B7592">
      <w:pPr>
        <w:pStyle w:val="ListParagraph"/>
        <w:numPr>
          <w:ilvl w:val="0"/>
          <w:numId w:val="14"/>
        </w:numPr>
        <w:ind w:left="0" w:firstLine="0"/>
        <w:rPr>
          <w:rFonts w:cs="Arial"/>
        </w:rPr>
      </w:pPr>
      <w:r>
        <w:rPr>
          <w:rFonts w:cs="Arial"/>
        </w:rPr>
        <w:t xml:space="preserve">In accordance with Article 28 of the Covenant, we </w:t>
      </w:r>
      <w:r w:rsidR="00BA5331">
        <w:rPr>
          <w:rFonts w:cs="Arial"/>
        </w:rPr>
        <w:t>suggest that</w:t>
      </w:r>
      <w:r>
        <w:rPr>
          <w:rFonts w:cs="Arial"/>
        </w:rPr>
        <w:t xml:space="preserve"> the Committee </w:t>
      </w:r>
      <w:r w:rsidR="00BA5331">
        <w:rPr>
          <w:rFonts w:cs="Arial"/>
        </w:rPr>
        <w:t>should, in its list of issues,</w:t>
      </w:r>
      <w:r>
        <w:rPr>
          <w:rFonts w:cs="Arial"/>
        </w:rPr>
        <w:t xml:space="preserve"> engage directly with</w:t>
      </w:r>
      <w:r w:rsidR="009E391A">
        <w:rPr>
          <w:rFonts w:cs="Arial"/>
        </w:rPr>
        <w:t xml:space="preserve"> the obliga</w:t>
      </w:r>
      <w:r>
        <w:rPr>
          <w:rFonts w:cs="Arial"/>
        </w:rPr>
        <w:t>tions</w:t>
      </w:r>
      <w:r w:rsidR="009E391A">
        <w:rPr>
          <w:rFonts w:cs="Arial"/>
        </w:rPr>
        <w:t xml:space="preserve"> of all levels of government, including provincial/territorial governments, and all branches of government, including the judiciary. Canada’s</w:t>
      </w:r>
      <w:r>
        <w:rPr>
          <w:rFonts w:cs="Arial"/>
        </w:rPr>
        <w:t xml:space="preserve"> federal structure places </w:t>
      </w:r>
      <w:r w:rsidR="001B7F73">
        <w:rPr>
          <w:rFonts w:cs="Arial"/>
        </w:rPr>
        <w:t xml:space="preserve">key </w:t>
      </w:r>
      <w:r>
        <w:rPr>
          <w:rFonts w:cs="Arial"/>
        </w:rPr>
        <w:t xml:space="preserve">obligations for the implementation of ESC rights on provinces and territories, with significant responsibilities also delegated </w:t>
      </w:r>
      <w:r w:rsidR="001B7F73">
        <w:rPr>
          <w:rFonts w:cs="Arial"/>
        </w:rPr>
        <w:t xml:space="preserve">by provinces and territories to </w:t>
      </w:r>
      <w:r>
        <w:rPr>
          <w:rFonts w:cs="Arial"/>
        </w:rPr>
        <w:t xml:space="preserve">municipalities. </w:t>
      </w:r>
      <w:r w:rsidR="001B7F73">
        <w:rPr>
          <w:rFonts w:cs="Arial"/>
        </w:rPr>
        <w:t>If the review does not address the obligations of provinces and territories,</w:t>
      </w:r>
      <w:r w:rsidR="00E320C5">
        <w:rPr>
          <w:rFonts w:cs="Arial"/>
        </w:rPr>
        <w:t xml:space="preserve"> particularly with respect to access to justice,</w:t>
      </w:r>
      <w:r w:rsidR="001B7F73">
        <w:rPr>
          <w:rFonts w:cs="Arial"/>
        </w:rPr>
        <w:t xml:space="preserve"> it will not be effective. </w:t>
      </w:r>
    </w:p>
    <w:p w14:paraId="3F3F1590" w14:textId="77777777" w:rsidR="00E320C5" w:rsidRPr="00E320C5" w:rsidRDefault="00E320C5" w:rsidP="00E320C5">
      <w:pPr>
        <w:pStyle w:val="ListParagraph"/>
        <w:rPr>
          <w:rFonts w:cs="Arial"/>
        </w:rPr>
      </w:pPr>
    </w:p>
    <w:p w14:paraId="7061826E" w14:textId="53F0EADD" w:rsidR="002D167E" w:rsidRDefault="001B7F73" w:rsidP="00BC7E43">
      <w:pPr>
        <w:pStyle w:val="ListParagraph"/>
        <w:numPr>
          <w:ilvl w:val="0"/>
          <w:numId w:val="14"/>
        </w:numPr>
        <w:ind w:left="0" w:firstLine="0"/>
        <w:rPr>
          <w:rFonts w:cs="Arial"/>
        </w:rPr>
      </w:pPr>
      <w:r>
        <w:rPr>
          <w:rFonts w:cs="Arial"/>
        </w:rPr>
        <w:t xml:space="preserve">Similarly, because </w:t>
      </w:r>
      <w:r w:rsidR="00ED06CA">
        <w:rPr>
          <w:rFonts w:cs="Arial"/>
        </w:rPr>
        <w:t xml:space="preserve">Canada’s dualist legal system </w:t>
      </w:r>
      <w:r>
        <w:rPr>
          <w:rFonts w:cs="Arial"/>
        </w:rPr>
        <w:t xml:space="preserve">relies </w:t>
      </w:r>
      <w:r w:rsidR="00ED06CA">
        <w:rPr>
          <w:rFonts w:cs="Arial"/>
        </w:rPr>
        <w:t xml:space="preserve">on the </w:t>
      </w:r>
      <w:r w:rsidR="009E391A">
        <w:rPr>
          <w:rFonts w:cs="Arial"/>
        </w:rPr>
        <w:t>independent judiciary</w:t>
      </w:r>
      <w:r w:rsidR="00ED06CA">
        <w:rPr>
          <w:rFonts w:cs="Arial"/>
        </w:rPr>
        <w:t xml:space="preserve"> to ensure access to effective remedies through appropriate interpretations of domestic law</w:t>
      </w:r>
      <w:r>
        <w:rPr>
          <w:rFonts w:cs="Arial"/>
        </w:rPr>
        <w:t>, an effective review must engage with the judiciary</w:t>
      </w:r>
      <w:r w:rsidR="00E320C5">
        <w:rPr>
          <w:rFonts w:cs="Arial"/>
        </w:rPr>
        <w:t xml:space="preserve"> and with administrative tribunals</w:t>
      </w:r>
      <w:r>
        <w:rPr>
          <w:rFonts w:cs="Arial"/>
        </w:rPr>
        <w:t>.</w:t>
      </w:r>
      <w:r w:rsidR="00ED06CA">
        <w:rPr>
          <w:rFonts w:cs="Arial"/>
        </w:rPr>
        <w:t xml:space="preserve"> We encourage the Committee to request information not only from the federal government but also</w:t>
      </w:r>
      <w:r w:rsidR="005D4013">
        <w:rPr>
          <w:rFonts w:cs="Arial"/>
        </w:rPr>
        <w:t xml:space="preserve">, </w:t>
      </w:r>
      <w:r w:rsidR="00ED06CA">
        <w:rPr>
          <w:rFonts w:cs="Arial"/>
        </w:rPr>
        <w:t>through the federal government, from provinces</w:t>
      </w:r>
      <w:r w:rsidR="005D4013">
        <w:rPr>
          <w:rFonts w:cs="Arial"/>
        </w:rPr>
        <w:t xml:space="preserve"> and </w:t>
      </w:r>
      <w:r w:rsidR="00ED06CA">
        <w:rPr>
          <w:rFonts w:cs="Arial"/>
        </w:rPr>
        <w:t>territories,</w:t>
      </w:r>
      <w:r w:rsidR="005D4013">
        <w:rPr>
          <w:rFonts w:cs="Arial"/>
        </w:rPr>
        <w:t xml:space="preserve"> as well as</w:t>
      </w:r>
      <w:r w:rsidR="00ED06CA">
        <w:rPr>
          <w:rFonts w:cs="Arial"/>
        </w:rPr>
        <w:t xml:space="preserve"> from </w:t>
      </w:r>
      <w:r w:rsidR="00404867">
        <w:rPr>
          <w:rFonts w:cs="Arial"/>
        </w:rPr>
        <w:t>courts and administrative tribunals.</w:t>
      </w:r>
    </w:p>
    <w:p w14:paraId="67D5A36E" w14:textId="0A8F554A" w:rsidR="002D167E" w:rsidRDefault="002D167E" w:rsidP="002D167E">
      <w:pPr>
        <w:pStyle w:val="ListParagraph"/>
        <w:rPr>
          <w:rStyle w:val="Heading2Char"/>
        </w:rPr>
      </w:pPr>
    </w:p>
    <w:p w14:paraId="37C7B70C" w14:textId="77777777" w:rsidR="00B604D1" w:rsidRDefault="00B604D1" w:rsidP="002D167E">
      <w:pPr>
        <w:pStyle w:val="ListParagraph"/>
        <w:rPr>
          <w:rStyle w:val="Heading2Char"/>
        </w:rPr>
      </w:pPr>
    </w:p>
    <w:p w14:paraId="50D454A3" w14:textId="201EC147" w:rsidR="005F27AA" w:rsidRPr="008A0F79" w:rsidRDefault="002D167E" w:rsidP="008A0F79">
      <w:pPr>
        <w:pStyle w:val="Heading2"/>
        <w:numPr>
          <w:ilvl w:val="0"/>
          <w:numId w:val="18"/>
        </w:numPr>
        <w:rPr>
          <w:b w:val="0"/>
          <w:bCs w:val="0"/>
          <w:color w:val="4472C4" w:themeColor="accent1"/>
        </w:rPr>
      </w:pPr>
      <w:bookmarkStart w:id="13" w:name="_Toc32279497"/>
      <w:bookmarkStart w:id="14" w:name="_Toc115198217"/>
      <w:r w:rsidRPr="008A0F79">
        <w:rPr>
          <w:color w:val="4472C4" w:themeColor="accent1"/>
        </w:rPr>
        <w:t>ENSUR</w:t>
      </w:r>
      <w:r w:rsidR="00BC7E43" w:rsidRPr="008A0F79">
        <w:rPr>
          <w:color w:val="4472C4" w:themeColor="accent1"/>
        </w:rPr>
        <w:t>ING ACCESS TO JUSTICE AND EFFECTIVE REMEDIES FOR ESC RIGHTS UNDER THE CANADIAN CHARTER</w:t>
      </w:r>
      <w:bookmarkEnd w:id="13"/>
      <w:bookmarkEnd w:id="14"/>
      <w:r w:rsidR="00BC7E43" w:rsidRPr="008A0F79">
        <w:rPr>
          <w:b w:val="0"/>
          <w:bCs w:val="0"/>
          <w:color w:val="4472C4" w:themeColor="accent1"/>
        </w:rPr>
        <w:t xml:space="preserve"> </w:t>
      </w:r>
    </w:p>
    <w:p w14:paraId="7CBFD77D" w14:textId="0A7DF104" w:rsidR="005F27AA" w:rsidRPr="00404867" w:rsidRDefault="005F27AA" w:rsidP="00B604D1">
      <w:pPr>
        <w:pStyle w:val="Heading2"/>
        <w:numPr>
          <w:ilvl w:val="0"/>
          <w:numId w:val="24"/>
        </w:numPr>
        <w:rPr>
          <w:color w:val="0070C0"/>
          <w:sz w:val="24"/>
          <w:szCs w:val="24"/>
        </w:rPr>
      </w:pPr>
      <w:bookmarkStart w:id="15" w:name="_Toc442138312"/>
      <w:bookmarkStart w:id="16" w:name="_Toc442138348"/>
      <w:bookmarkStart w:id="17" w:name="_Toc32279498"/>
      <w:bookmarkStart w:id="18" w:name="_Toc115198218"/>
      <w:r w:rsidRPr="00404867">
        <w:rPr>
          <w:color w:val="0070C0"/>
          <w:sz w:val="24"/>
          <w:szCs w:val="24"/>
        </w:rPr>
        <w:t xml:space="preserve">Protection of ESC Rights Through Inclusive Interpretations of </w:t>
      </w:r>
      <w:r w:rsidR="00404867">
        <w:rPr>
          <w:color w:val="0070C0"/>
          <w:sz w:val="24"/>
          <w:szCs w:val="24"/>
        </w:rPr>
        <w:t>r</w:t>
      </w:r>
      <w:r w:rsidRPr="00404867">
        <w:rPr>
          <w:color w:val="0070C0"/>
          <w:sz w:val="24"/>
          <w:szCs w:val="24"/>
        </w:rPr>
        <w:t>ights under the Canadian Charter of Rights and Freedoms</w:t>
      </w:r>
      <w:bookmarkEnd w:id="15"/>
      <w:bookmarkEnd w:id="16"/>
      <w:bookmarkEnd w:id="17"/>
      <w:bookmarkEnd w:id="18"/>
    </w:p>
    <w:p w14:paraId="66BAD44A" w14:textId="77777777" w:rsidR="005F27AA" w:rsidRPr="00C5478C" w:rsidRDefault="005F27AA" w:rsidP="00D70244">
      <w:pPr>
        <w:ind w:firstLine="720"/>
        <w:rPr>
          <w:rFonts w:cs="Arial"/>
        </w:rPr>
      </w:pPr>
    </w:p>
    <w:p w14:paraId="2296AE3E" w14:textId="77777777" w:rsidR="00E320C5" w:rsidRDefault="008F5881" w:rsidP="009B7592">
      <w:pPr>
        <w:numPr>
          <w:ilvl w:val="0"/>
          <w:numId w:val="2"/>
        </w:numPr>
        <w:rPr>
          <w:rFonts w:cs="Arial"/>
          <w:lang w:val="en-GB"/>
        </w:rPr>
      </w:pPr>
      <w:r>
        <w:rPr>
          <w:rFonts w:cs="Arial"/>
        </w:rPr>
        <w:t xml:space="preserve">In its 2016 Concluding Observations on Canada, the CESCR reiterated previous concerns about the position taken by governments </w:t>
      </w:r>
      <w:r w:rsidR="00E72CE5">
        <w:rPr>
          <w:rFonts w:cs="Arial"/>
        </w:rPr>
        <w:t xml:space="preserve">in Charter cases in which litigants have sought remedies to violations of </w:t>
      </w:r>
      <w:r w:rsidR="00E320C5">
        <w:rPr>
          <w:rFonts w:cs="Arial"/>
        </w:rPr>
        <w:t xml:space="preserve">Charter rights </w:t>
      </w:r>
      <w:r w:rsidR="00E72CE5">
        <w:rPr>
          <w:rFonts w:cs="Arial"/>
        </w:rPr>
        <w:t xml:space="preserve">to life, security of the person, or equality </w:t>
      </w:r>
      <w:r w:rsidR="00250A25">
        <w:rPr>
          <w:rFonts w:cs="Arial"/>
        </w:rPr>
        <w:t xml:space="preserve">resulting from homelessness or denials of </w:t>
      </w:r>
      <w:r w:rsidR="00E72CE5">
        <w:rPr>
          <w:rFonts w:cs="Arial"/>
        </w:rPr>
        <w:t>health care.  Canada had previously informed the Committee that the Supreme Court of Canada has recognized</w:t>
      </w:r>
      <w:r w:rsidR="00250A25">
        <w:rPr>
          <w:rFonts w:cs="Arial"/>
        </w:rPr>
        <w:t xml:space="preserve"> that the rights to life and security of the person could be interpreted to include ESC rights</w:t>
      </w:r>
      <w:r w:rsidR="00404867">
        <w:rPr>
          <w:rFonts w:cs="Arial"/>
        </w:rPr>
        <w:t>. Canada</w:t>
      </w:r>
      <w:r w:rsidR="00250A25">
        <w:rPr>
          <w:rFonts w:cs="Arial"/>
        </w:rPr>
        <w:t xml:space="preserve"> referr</w:t>
      </w:r>
      <w:r w:rsidR="00404867">
        <w:rPr>
          <w:rFonts w:cs="Arial"/>
        </w:rPr>
        <w:t>ed</w:t>
      </w:r>
      <w:r w:rsidR="00250A25">
        <w:rPr>
          <w:rFonts w:cs="Arial"/>
        </w:rPr>
        <w:t xml:space="preserve"> the Committee to the Supreme Court’s </w:t>
      </w:r>
      <w:r w:rsidR="00250A25" w:rsidRPr="00C5478C">
        <w:rPr>
          <w:rFonts w:cs="Arial"/>
          <w:lang w:val="en-GB"/>
        </w:rPr>
        <w:t xml:space="preserve">1986 decision in </w:t>
      </w:r>
      <w:r w:rsidR="00250A25" w:rsidRPr="00C5478C">
        <w:rPr>
          <w:rFonts w:cs="Arial"/>
          <w:i/>
          <w:lang w:val="en-GB"/>
        </w:rPr>
        <w:t>Irwin Toy</w:t>
      </w:r>
      <w:r w:rsidR="00250A25" w:rsidRPr="00C5478C">
        <w:rPr>
          <w:rFonts w:cs="Arial"/>
          <w:vertAlign w:val="superscript"/>
          <w:lang w:val="en-GB"/>
        </w:rPr>
        <w:endnoteReference w:id="1"/>
      </w:r>
      <w:r w:rsidR="00250A25" w:rsidRPr="00C5478C">
        <w:rPr>
          <w:rFonts w:cs="Arial"/>
          <w:lang w:val="en-GB"/>
        </w:rPr>
        <w:t xml:space="preserve"> </w:t>
      </w:r>
      <w:r w:rsidR="00404867">
        <w:rPr>
          <w:rFonts w:cs="Arial"/>
          <w:lang w:val="en-GB"/>
        </w:rPr>
        <w:t xml:space="preserve">in which </w:t>
      </w:r>
      <w:r w:rsidR="00E320C5">
        <w:rPr>
          <w:rFonts w:cs="Arial"/>
          <w:lang w:val="en-GB"/>
        </w:rPr>
        <w:t>the Court</w:t>
      </w:r>
      <w:r w:rsidR="00404867">
        <w:rPr>
          <w:rFonts w:cs="Arial"/>
          <w:lang w:val="en-GB"/>
        </w:rPr>
        <w:t xml:space="preserve"> found</w:t>
      </w:r>
      <w:r w:rsidR="00250A25">
        <w:rPr>
          <w:rFonts w:cs="Arial"/>
          <w:lang w:val="en-GB"/>
        </w:rPr>
        <w:t xml:space="preserve"> </w:t>
      </w:r>
      <w:r w:rsidR="00250A25" w:rsidRPr="00C5478C">
        <w:rPr>
          <w:rFonts w:cs="Arial"/>
          <w:lang w:val="en-GB"/>
        </w:rPr>
        <w:t xml:space="preserve">that “such rights, included in various international covenants, as rights to social security, equal pay for equal work, adequate food, clothing and shelter” </w:t>
      </w:r>
      <w:r w:rsidR="00250A25">
        <w:rPr>
          <w:rFonts w:cs="Arial"/>
          <w:lang w:val="en-GB"/>
        </w:rPr>
        <w:t xml:space="preserve">should not be excluded from </w:t>
      </w:r>
      <w:r w:rsidR="00250A25" w:rsidRPr="00C5478C">
        <w:rPr>
          <w:rFonts w:cs="Arial"/>
          <w:lang w:val="en-GB"/>
        </w:rPr>
        <w:t>the scope of</w:t>
      </w:r>
      <w:r w:rsidR="00250A25">
        <w:rPr>
          <w:rFonts w:cs="Arial"/>
          <w:lang w:val="en-GB"/>
        </w:rPr>
        <w:t xml:space="preserve"> section 7 at </w:t>
      </w:r>
      <w:r w:rsidR="00BA5331">
        <w:rPr>
          <w:rFonts w:cs="Arial"/>
          <w:lang w:val="en-GB"/>
        </w:rPr>
        <w:t>an</w:t>
      </w:r>
      <w:r w:rsidR="00250A25">
        <w:rPr>
          <w:rFonts w:cs="Arial"/>
          <w:lang w:val="en-GB"/>
        </w:rPr>
        <w:t xml:space="preserve"> early stage of Charter interpretation</w:t>
      </w:r>
      <w:r w:rsidR="00250A25" w:rsidRPr="00C5478C">
        <w:rPr>
          <w:rFonts w:cs="Arial"/>
          <w:lang w:val="en-GB"/>
        </w:rPr>
        <w:t>.</w:t>
      </w:r>
      <w:r w:rsidR="00250A25" w:rsidRPr="00C5478C">
        <w:rPr>
          <w:rFonts w:cs="Arial"/>
          <w:vertAlign w:val="superscript"/>
          <w:lang w:val="en-GB"/>
        </w:rPr>
        <w:endnoteReference w:id="2"/>
      </w:r>
      <w:r w:rsidR="00250A25" w:rsidRPr="00C5478C">
        <w:rPr>
          <w:rFonts w:cs="Arial"/>
          <w:lang w:val="en-GB"/>
        </w:rPr>
        <w:t xml:space="preserve"> </w:t>
      </w:r>
      <w:r w:rsidR="00250A25">
        <w:rPr>
          <w:rFonts w:cs="Arial"/>
          <w:lang w:val="en-GB"/>
        </w:rPr>
        <w:t xml:space="preserve"> </w:t>
      </w:r>
    </w:p>
    <w:p w14:paraId="0A57858B" w14:textId="19BEE086" w:rsidR="005D4013" w:rsidRPr="00E94D10" w:rsidRDefault="005D4013" w:rsidP="009B7592">
      <w:pPr>
        <w:numPr>
          <w:ilvl w:val="0"/>
          <w:numId w:val="2"/>
        </w:numPr>
        <w:rPr>
          <w:rFonts w:cs="Arial"/>
          <w:lang w:val="en-GB"/>
        </w:rPr>
      </w:pPr>
      <w:r>
        <w:rPr>
          <w:rFonts w:cs="Arial"/>
          <w:lang w:val="en-GB"/>
        </w:rPr>
        <w:t xml:space="preserve">The only case in which the Supreme Court has addressed </w:t>
      </w:r>
      <w:r w:rsidR="00BA5331">
        <w:rPr>
          <w:rFonts w:cs="Arial"/>
          <w:lang w:val="en-GB"/>
        </w:rPr>
        <w:t xml:space="preserve">the question left open in the </w:t>
      </w:r>
      <w:r w:rsidRPr="005D4013">
        <w:rPr>
          <w:rFonts w:cs="Arial"/>
          <w:i/>
          <w:iCs/>
          <w:lang w:val="en-GB"/>
        </w:rPr>
        <w:t>Irwin Toy</w:t>
      </w:r>
      <w:r>
        <w:rPr>
          <w:rFonts w:cs="Arial"/>
          <w:lang w:val="en-GB"/>
        </w:rPr>
        <w:t xml:space="preserve"> decision was the</w:t>
      </w:r>
      <w:r w:rsidR="00250A25" w:rsidRPr="00C5478C">
        <w:rPr>
          <w:rFonts w:cs="Arial"/>
          <w:lang w:val="en-GB"/>
        </w:rPr>
        <w:t xml:space="preserve"> 2003 </w:t>
      </w:r>
      <w:r w:rsidR="00250A25" w:rsidRPr="00C5478C">
        <w:rPr>
          <w:rFonts w:cs="Arial"/>
          <w:i/>
          <w:lang w:val="en-GB"/>
        </w:rPr>
        <w:t>Gosselin</w:t>
      </w:r>
      <w:r w:rsidR="00E320C5">
        <w:rPr>
          <w:rStyle w:val="FootnoteReference"/>
          <w:rFonts w:cs="Arial"/>
          <w:i/>
          <w:lang w:val="en-GB"/>
        </w:rPr>
        <w:footnoteReference w:id="5"/>
      </w:r>
      <w:r w:rsidR="00250A25" w:rsidRPr="00C5478C">
        <w:rPr>
          <w:rFonts w:cs="Arial"/>
          <w:i/>
          <w:lang w:val="en-GB"/>
        </w:rPr>
        <w:t xml:space="preserve"> </w:t>
      </w:r>
      <w:r w:rsidR="00250A25" w:rsidRPr="00C5478C">
        <w:rPr>
          <w:rFonts w:cs="Arial"/>
          <w:lang w:val="en-GB"/>
        </w:rPr>
        <w:t>case, dealing with</w:t>
      </w:r>
      <w:r w:rsidR="005A432A">
        <w:rPr>
          <w:rFonts w:cs="Arial"/>
          <w:lang w:val="en-GB"/>
        </w:rPr>
        <w:t xml:space="preserve"> dramatically</w:t>
      </w:r>
      <w:r w:rsidR="00250A25" w:rsidRPr="00C5478C">
        <w:rPr>
          <w:rFonts w:cs="Arial"/>
          <w:lang w:val="en-GB"/>
        </w:rPr>
        <w:t xml:space="preserve"> reduced social assistance rates for recipients</w:t>
      </w:r>
      <w:r w:rsidR="00E320C5">
        <w:rPr>
          <w:rFonts w:cs="Arial"/>
          <w:lang w:val="en-GB"/>
        </w:rPr>
        <w:t xml:space="preserve"> under the age of thirty and</w:t>
      </w:r>
      <w:r w:rsidR="00250A25" w:rsidRPr="00C5478C">
        <w:rPr>
          <w:rFonts w:cs="Arial"/>
          <w:lang w:val="en-GB"/>
        </w:rPr>
        <w:t xml:space="preserve"> not enrolled in workfare</w:t>
      </w:r>
      <w:r>
        <w:rPr>
          <w:rFonts w:cs="Arial"/>
          <w:lang w:val="en-GB"/>
        </w:rPr>
        <w:t xml:space="preserve">.  </w:t>
      </w:r>
      <w:r w:rsidR="00250A25" w:rsidRPr="00C5478C">
        <w:rPr>
          <w:rFonts w:cs="Arial"/>
          <w:lang w:val="en-GB"/>
        </w:rPr>
        <w:t>Justice Louise Arbour</w:t>
      </w:r>
      <w:r>
        <w:rPr>
          <w:rFonts w:cs="Arial"/>
          <w:lang w:val="en-GB"/>
        </w:rPr>
        <w:t>, in dissent,</w:t>
      </w:r>
      <w:r w:rsidR="00250A25" w:rsidRPr="00C5478C">
        <w:rPr>
          <w:rFonts w:cs="Arial"/>
          <w:lang w:val="en-GB"/>
        </w:rPr>
        <w:t xml:space="preserve"> found</w:t>
      </w:r>
      <w:r>
        <w:rPr>
          <w:rFonts w:cs="Arial"/>
          <w:lang w:val="en-GB"/>
        </w:rPr>
        <w:t xml:space="preserve"> in that case</w:t>
      </w:r>
      <w:r w:rsidR="00250A25" w:rsidRPr="00C5478C">
        <w:rPr>
          <w:rFonts w:cs="Arial"/>
          <w:lang w:val="en-GB"/>
        </w:rPr>
        <w:t xml:space="preserve"> that the section 7 right to ‘security of the person’ places positive obligations on governments to provide those in need with an amount of social assistance adequate to cover </w:t>
      </w:r>
      <w:proofErr w:type="gramStart"/>
      <w:r w:rsidR="00250A25" w:rsidRPr="00C5478C">
        <w:rPr>
          <w:rFonts w:cs="Arial"/>
          <w:lang w:val="en-GB"/>
        </w:rPr>
        <w:t>basic</w:t>
      </w:r>
      <w:r w:rsidR="00E320C5">
        <w:rPr>
          <w:rFonts w:cs="Arial"/>
          <w:lang w:val="en-GB"/>
        </w:rPr>
        <w:t xml:space="preserve"> </w:t>
      </w:r>
      <w:r w:rsidR="00250A25" w:rsidRPr="00C5478C">
        <w:rPr>
          <w:rFonts w:cs="Arial"/>
          <w:lang w:val="en-GB"/>
        </w:rPr>
        <w:t>necessities</w:t>
      </w:r>
      <w:proofErr w:type="gramEnd"/>
      <w:r w:rsidR="00250A25" w:rsidRPr="00C5478C">
        <w:rPr>
          <w:rFonts w:cs="Arial"/>
          <w:lang w:val="en-GB"/>
        </w:rPr>
        <w:t xml:space="preserve">. </w:t>
      </w:r>
      <w:r w:rsidR="00250A25">
        <w:rPr>
          <w:rFonts w:cs="Arial"/>
          <w:lang w:val="en-GB"/>
        </w:rPr>
        <w:t>The majority of the Court was not prepared to decide th</w:t>
      </w:r>
      <w:r w:rsidR="00BA5331">
        <w:rPr>
          <w:rFonts w:cs="Arial"/>
          <w:lang w:val="en-GB"/>
        </w:rPr>
        <w:t>at issue on</w:t>
      </w:r>
      <w:r w:rsidR="00250A25">
        <w:rPr>
          <w:rFonts w:cs="Arial"/>
          <w:lang w:val="en-GB"/>
        </w:rPr>
        <w:t xml:space="preserve"> the basis of the evidence in that case </w:t>
      </w:r>
      <w:r w:rsidR="00BA5331">
        <w:rPr>
          <w:rFonts w:cs="Arial"/>
          <w:lang w:val="en-GB"/>
        </w:rPr>
        <w:t>but</w:t>
      </w:r>
      <w:r w:rsidR="00250A25">
        <w:rPr>
          <w:rFonts w:cs="Arial"/>
          <w:lang w:val="en-GB"/>
        </w:rPr>
        <w:t xml:space="preserve"> </w:t>
      </w:r>
      <w:r w:rsidR="00250A25" w:rsidRPr="00C5478C">
        <w:rPr>
          <w:rFonts w:cs="Arial"/>
          <w:lang w:val="en-GB"/>
        </w:rPr>
        <w:t>left open the possibility of adopting this ‘novel’ interpretation of the right to security of the person in a future case.</w:t>
      </w:r>
      <w:r w:rsidR="00250A25" w:rsidRPr="00C5478C">
        <w:rPr>
          <w:rFonts w:cs="Arial"/>
          <w:vertAlign w:val="superscript"/>
          <w:lang w:val="en-GB"/>
        </w:rPr>
        <w:endnoteReference w:id="3"/>
      </w:r>
      <w:r w:rsidR="00250A25" w:rsidRPr="00C5478C">
        <w:rPr>
          <w:rFonts w:cs="Arial"/>
          <w:lang w:val="en-GB"/>
        </w:rPr>
        <w:t xml:space="preserve"> </w:t>
      </w:r>
      <w:r w:rsidR="00250A25">
        <w:rPr>
          <w:rFonts w:cs="Arial"/>
          <w:lang w:val="en-GB"/>
        </w:rPr>
        <w:t xml:space="preserve"> Since the </w:t>
      </w:r>
      <w:r w:rsidR="00250A25" w:rsidRPr="005D4013">
        <w:rPr>
          <w:rFonts w:cs="Arial"/>
          <w:i/>
          <w:iCs/>
          <w:lang w:val="en-GB"/>
        </w:rPr>
        <w:t>Gosselin</w:t>
      </w:r>
      <w:r w:rsidR="00250A25">
        <w:rPr>
          <w:rFonts w:cs="Arial"/>
          <w:lang w:val="en-GB"/>
        </w:rPr>
        <w:t xml:space="preserve"> case, the Supreme Court of Canada has not </w:t>
      </w:r>
      <w:r w:rsidR="00404867">
        <w:rPr>
          <w:rFonts w:cs="Arial"/>
          <w:lang w:val="en-GB"/>
        </w:rPr>
        <w:t xml:space="preserve">granted leave to appeal in </w:t>
      </w:r>
      <w:r w:rsidR="00250A25">
        <w:rPr>
          <w:rFonts w:cs="Arial"/>
          <w:lang w:val="en-GB"/>
        </w:rPr>
        <w:t>any cases in which this issue would be addressed.</w:t>
      </w:r>
      <w:r w:rsidR="00250A25" w:rsidRPr="00C5478C">
        <w:rPr>
          <w:rFonts w:cs="Arial"/>
          <w:lang w:val="en-GB"/>
        </w:rPr>
        <w:t xml:space="preserve"> </w:t>
      </w:r>
      <w:r w:rsidR="00404867">
        <w:rPr>
          <w:rFonts w:cs="Arial"/>
          <w:lang w:val="en-GB"/>
        </w:rPr>
        <w:t xml:space="preserve">  </w:t>
      </w:r>
    </w:p>
    <w:p w14:paraId="6605042E" w14:textId="5BD3EA58" w:rsidR="00250A25" w:rsidRPr="00980C19" w:rsidRDefault="00404867" w:rsidP="009B7592">
      <w:pPr>
        <w:numPr>
          <w:ilvl w:val="0"/>
          <w:numId w:val="2"/>
        </w:numPr>
        <w:rPr>
          <w:rFonts w:cs="Arial"/>
        </w:rPr>
      </w:pPr>
      <w:r>
        <w:rPr>
          <w:rFonts w:cs="Arial"/>
          <w:lang w:val="en-GB"/>
        </w:rPr>
        <w:t>Lower courts</w:t>
      </w:r>
      <w:r w:rsidR="005D4013">
        <w:rPr>
          <w:rFonts w:cs="Arial"/>
          <w:lang w:val="en-GB"/>
        </w:rPr>
        <w:t xml:space="preserve"> </w:t>
      </w:r>
      <w:r>
        <w:rPr>
          <w:rFonts w:cs="Arial"/>
          <w:lang w:val="en-GB"/>
        </w:rPr>
        <w:t>have assumed that section 7 of the Charter should not be interpreted to include ESC rights, but</w:t>
      </w:r>
      <w:r w:rsidR="005D4013">
        <w:rPr>
          <w:rFonts w:cs="Arial"/>
          <w:lang w:val="en-GB"/>
        </w:rPr>
        <w:t xml:space="preserve"> in fact</w:t>
      </w:r>
      <w:r>
        <w:rPr>
          <w:rFonts w:cs="Arial"/>
          <w:lang w:val="en-GB"/>
        </w:rPr>
        <w:t xml:space="preserve"> t</w:t>
      </w:r>
      <w:r w:rsidR="00250A25" w:rsidRPr="00C5478C">
        <w:rPr>
          <w:rFonts w:cs="Arial"/>
          <w:lang w:val="en-GB"/>
        </w:rPr>
        <w:t>he question</w:t>
      </w:r>
      <w:r w:rsidR="00250A25">
        <w:rPr>
          <w:rFonts w:cs="Arial"/>
          <w:lang w:val="en-GB"/>
        </w:rPr>
        <w:t xml:space="preserve"> </w:t>
      </w:r>
      <w:r w:rsidR="00250A25" w:rsidRPr="003A6D06">
        <w:rPr>
          <w:rFonts w:cs="Arial"/>
          <w:lang w:val="en-GB"/>
        </w:rPr>
        <w:t xml:space="preserve">remains </w:t>
      </w:r>
      <w:r w:rsidR="005D4013">
        <w:rPr>
          <w:rFonts w:cs="Arial"/>
          <w:lang w:val="en-GB"/>
        </w:rPr>
        <w:t>a</w:t>
      </w:r>
      <w:r w:rsidR="00250A25" w:rsidRPr="003A6D06">
        <w:rPr>
          <w:rFonts w:cs="Arial"/>
          <w:lang w:val="en-GB"/>
        </w:rPr>
        <w:t xml:space="preserve"> central unresolved issue</w:t>
      </w:r>
      <w:r w:rsidR="005D4013">
        <w:rPr>
          <w:rFonts w:cs="Arial"/>
          <w:lang w:val="en-GB"/>
        </w:rPr>
        <w:t xml:space="preserve"> </w:t>
      </w:r>
      <w:r w:rsidR="00250A25" w:rsidRPr="003A6D06">
        <w:rPr>
          <w:rFonts w:cs="Arial"/>
          <w:lang w:val="en-GB"/>
        </w:rPr>
        <w:t xml:space="preserve">of Canadian Charter jurisprudence.  The </w:t>
      </w:r>
      <w:r w:rsidR="00A527E1">
        <w:rPr>
          <w:rFonts w:cs="Arial"/>
          <w:lang w:val="en-GB"/>
        </w:rPr>
        <w:t xml:space="preserve">eventual </w:t>
      </w:r>
      <w:r w:rsidR="00250A25" w:rsidRPr="003A6D06">
        <w:rPr>
          <w:rFonts w:cs="Arial"/>
          <w:lang w:val="en-GB"/>
        </w:rPr>
        <w:t xml:space="preserve">resolution of this question </w:t>
      </w:r>
      <w:r w:rsidR="00A527E1">
        <w:rPr>
          <w:rFonts w:cs="Arial"/>
          <w:lang w:val="en-GB"/>
        </w:rPr>
        <w:t xml:space="preserve">by the Supreme Court of Canada </w:t>
      </w:r>
      <w:r w:rsidR="00250A25" w:rsidRPr="003A6D06">
        <w:rPr>
          <w:rFonts w:cs="Arial"/>
          <w:lang w:val="en-GB"/>
        </w:rPr>
        <w:t xml:space="preserve">will </w:t>
      </w:r>
      <w:r w:rsidR="00A527E1">
        <w:rPr>
          <w:rFonts w:cs="Arial"/>
          <w:lang w:val="en-GB"/>
        </w:rPr>
        <w:t>significantly</w:t>
      </w:r>
      <w:r w:rsidR="00250A25" w:rsidRPr="003A6D06">
        <w:rPr>
          <w:rFonts w:cs="Arial"/>
          <w:lang w:val="en-GB"/>
        </w:rPr>
        <w:t xml:space="preserve"> determine the extent to which Canada</w:t>
      </w:r>
      <w:r w:rsidR="00A527E1">
        <w:rPr>
          <w:rFonts w:cs="Arial"/>
          <w:lang w:val="en-GB"/>
        </w:rPr>
        <w:t xml:space="preserve"> is able to </w:t>
      </w:r>
      <w:r w:rsidR="00250A25" w:rsidRPr="003A6D06">
        <w:rPr>
          <w:rFonts w:cs="Arial"/>
          <w:lang w:val="en-GB"/>
        </w:rPr>
        <w:t>compl</w:t>
      </w:r>
      <w:r w:rsidR="00A527E1">
        <w:rPr>
          <w:rFonts w:cs="Arial"/>
          <w:lang w:val="en-GB"/>
        </w:rPr>
        <w:t>y</w:t>
      </w:r>
      <w:r w:rsidR="00250A25" w:rsidRPr="003A6D06">
        <w:rPr>
          <w:rFonts w:cs="Arial"/>
          <w:lang w:val="en-GB"/>
        </w:rPr>
        <w:t xml:space="preserve"> with the obligation to ensure access to effective remedies to </w:t>
      </w:r>
      <w:r w:rsidR="005D4013">
        <w:rPr>
          <w:rFonts w:cs="Arial"/>
          <w:lang w:val="en-GB"/>
        </w:rPr>
        <w:t>ESC</w:t>
      </w:r>
      <w:r w:rsidR="00250A25" w:rsidRPr="003A6D06">
        <w:rPr>
          <w:rFonts w:cs="Arial"/>
          <w:lang w:val="en-GB"/>
        </w:rPr>
        <w:t xml:space="preserve"> rights.  </w:t>
      </w:r>
    </w:p>
    <w:p w14:paraId="4C184AAB" w14:textId="77777777" w:rsidR="005F27AA" w:rsidRPr="00C5478C" w:rsidRDefault="005F27AA" w:rsidP="00AE4C6F">
      <w:pPr>
        <w:rPr>
          <w:rFonts w:cs="Arial"/>
        </w:rPr>
      </w:pPr>
    </w:p>
    <w:p w14:paraId="5AF5616E" w14:textId="28052956" w:rsidR="005F27AA" w:rsidRPr="00C5478C" w:rsidRDefault="00582633" w:rsidP="0026195E">
      <w:pPr>
        <w:ind w:right="-54"/>
        <w:rPr>
          <w:rFonts w:cs="Arial"/>
          <w:b/>
        </w:rPr>
      </w:pPr>
      <w:r>
        <w:rPr>
          <w:rFonts w:cs="Arial"/>
          <w:b/>
          <w:noProof/>
        </w:rPr>
        <mc:AlternateContent>
          <mc:Choice Requires="wps">
            <w:drawing>
              <wp:inline distT="0" distB="0" distL="0" distR="0" wp14:anchorId="3486E749" wp14:editId="0946017F">
                <wp:extent cx="6035040" cy="2065020"/>
                <wp:effectExtent l="0" t="0" r="60960" b="49530"/>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06502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78540EBC" w14:textId="1E01E1B8" w:rsidR="00760C74" w:rsidRPr="00C5478C" w:rsidRDefault="00760C74" w:rsidP="007712CF">
                            <w:pPr>
                              <w:ind w:right="432" w:firstLine="432"/>
                              <w:rPr>
                                <w:rFonts w:cs="Arial"/>
                              </w:rPr>
                            </w:pPr>
                            <w:r>
                              <w:rPr>
                                <w:rFonts w:cs="Arial"/>
                                <w:b/>
                                <w:u w:val="single"/>
                              </w:rPr>
                              <w:t>Interpretation of the Charter Consistent with the ICESCR</w:t>
                            </w:r>
                          </w:p>
                          <w:p w14:paraId="3A8F41FC" w14:textId="2D65A441" w:rsidR="00760C74" w:rsidRDefault="00760C74" w:rsidP="009B7592">
                            <w:pPr>
                              <w:numPr>
                                <w:ilvl w:val="0"/>
                                <w:numId w:val="3"/>
                              </w:numPr>
                              <w:ind w:left="432" w:right="432"/>
                              <w:rPr>
                                <w:rFonts w:cs="Arial"/>
                                <w:b/>
                              </w:rPr>
                            </w:pPr>
                            <w:r>
                              <w:rPr>
                                <w:rFonts w:cs="Arial"/>
                                <w:b/>
                              </w:rPr>
                              <w:t>We recommend that the Committee request information from the federal government and from each provincial and territorial government about whether they promote interpretations of sections 7 and 15 of the Charter consistent with the interdependence of human rights, so as to ensure access to effective remedies for Covenant rights, as outlined in General Comment No. 9.  All governments should be asked to provide information about any Charter cases heard since 2016 in which claimants have cited the ICESCR as an aid to interpreting the Charter, explaining what positions were taken by governments regarding the application of the Covenant in those cases.</w:t>
                            </w:r>
                          </w:p>
                          <w:p w14:paraId="3BB1E21D" w14:textId="33085785" w:rsidR="00760C74" w:rsidRPr="00AE4C6F" w:rsidRDefault="00760C74" w:rsidP="0083077E">
                            <w:pPr>
                              <w:ind w:left="72" w:right="432"/>
                              <w:rPr>
                                <w:rFonts w:cs="Arial"/>
                                <w:b/>
                              </w:rPr>
                            </w:pPr>
                            <w:r>
                              <w:rPr>
                                <w:rFonts w:cs="Arial"/>
                                <w:b/>
                              </w:rPr>
                              <w:t xml:space="preserve"> </w:t>
                            </w:r>
                          </w:p>
                        </w:txbxContent>
                      </wps:txbx>
                      <wps:bodyPr rot="0" vert="horz" wrap="square" lIns="91440" tIns="45720" rIns="91440" bIns="45720" anchor="t" anchorCtr="0" upright="1">
                        <a:noAutofit/>
                      </wps:bodyPr>
                    </wps:wsp>
                  </a:graphicData>
                </a:graphic>
              </wp:inline>
            </w:drawing>
          </mc:Choice>
          <mc:Fallback>
            <w:pict>
              <v:shapetype w14:anchorId="3486E749" id="_x0000_t202" coordsize="21600,21600" o:spt="202" path="m,l,21600r21600,l21600,xe">
                <v:stroke joinstyle="miter"/>
                <v:path gradientshapeok="t" o:connecttype="rect"/>
              </v:shapetype>
              <v:shape id="Text Box 52" o:spid="_x0000_s1026" type="#_x0000_t202" style="width:475.2pt;height:1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" fillcolor="#f2f2f2">
                <v:shadow on="t"/>
                <v:textbox>
                  <w:txbxContent>
                    <w:p w14:paraId="78540EBC" w14:textId="1E01E1B8" w:rsidR="00760C74" w:rsidRPr="00C5478C" w:rsidRDefault="00760C74" w:rsidP="007712CF">
                      <w:pPr>
                        <w:ind w:right="432" w:firstLine="432"/>
                        <w:rPr>
                          <w:rFonts w:cs="Arial"/>
                        </w:rPr>
                      </w:pPr>
                      <w:r>
                        <w:rPr>
                          <w:rFonts w:cs="Arial"/>
                          <w:b/>
                          <w:u w:val="single"/>
                        </w:rPr>
                        <w:t>Interpretation of the Charter Consistent with the ICESCR</w:t>
                      </w:r>
                    </w:p>
                    <w:p w14:paraId="3A8F41FC" w14:textId="2D65A441" w:rsidR="00760C74" w:rsidRDefault="00760C74" w:rsidP="009B7592">
                      <w:pPr>
                        <w:numPr>
                          <w:ilvl w:val="0"/>
                          <w:numId w:val="3"/>
                        </w:numPr>
                        <w:ind w:left="432" w:right="432"/>
                        <w:rPr>
                          <w:rFonts w:cs="Arial"/>
                          <w:b/>
                        </w:rPr>
                      </w:pPr>
                      <w:r>
                        <w:rPr>
                          <w:rFonts w:cs="Arial"/>
                          <w:b/>
                        </w:rPr>
                        <w:t>We recommend that the Committee request information from the federal government and from each provincial and territorial government about whether they promote interpretations of sections 7 and 15 of the Charter consistent with the interdependence of human rights, so as to ensure access to effective remedies for Covenant rights, as outlined in General Comment No. 9.  All governments should be asked to provide information about any Charter cases heard since 2016 in which claimants have cited the ICESCR as an aid to interpreting the Charter, explaining what positions were taken by governments regarding the application of the Covenant in those cases.</w:t>
                      </w:r>
                    </w:p>
                    <w:p w14:paraId="3BB1E21D" w14:textId="33085785" w:rsidR="00760C74" w:rsidRPr="00AE4C6F" w:rsidRDefault="00760C74" w:rsidP="0083077E">
                      <w:pPr>
                        <w:ind w:left="72" w:right="432"/>
                        <w:rPr>
                          <w:rFonts w:cs="Arial"/>
                          <w:b/>
                        </w:rPr>
                      </w:pPr>
                      <w:r>
                        <w:rPr>
                          <w:rFonts w:cs="Arial"/>
                          <w:b/>
                        </w:rPr>
                        <w:t xml:space="preserve"> </w:t>
                      </w:r>
                    </w:p>
                  </w:txbxContent>
                </v:textbox>
                <w10:anchorlock/>
              </v:shape>
            </w:pict>
          </mc:Fallback>
        </mc:AlternateContent>
      </w:r>
    </w:p>
    <w:p w14:paraId="01B94CC5" w14:textId="77777777" w:rsidR="00552826" w:rsidRDefault="00552826" w:rsidP="00552826">
      <w:pPr>
        <w:rPr>
          <w:rFonts w:cs="Arial"/>
        </w:rPr>
      </w:pPr>
    </w:p>
    <w:p w14:paraId="16887A4C" w14:textId="3B1D6A7A" w:rsidR="00552826" w:rsidRPr="008A0F79" w:rsidRDefault="00552826" w:rsidP="00B604D1">
      <w:pPr>
        <w:pStyle w:val="Heading2"/>
        <w:numPr>
          <w:ilvl w:val="0"/>
          <w:numId w:val="24"/>
        </w:numPr>
        <w:rPr>
          <w:color w:val="0070C0"/>
          <w:sz w:val="24"/>
          <w:szCs w:val="24"/>
        </w:rPr>
      </w:pPr>
      <w:bookmarkStart w:id="19" w:name="_Toc32279499"/>
      <w:bookmarkStart w:id="20" w:name="_Toc115198219"/>
      <w:r w:rsidRPr="008A0F79">
        <w:rPr>
          <w:color w:val="0070C0"/>
          <w:sz w:val="24"/>
          <w:szCs w:val="24"/>
        </w:rPr>
        <w:t>Principles Guiding the Attorney General of Canada in Charter Litigation</w:t>
      </w:r>
      <w:bookmarkEnd w:id="19"/>
      <w:bookmarkEnd w:id="20"/>
    </w:p>
    <w:p w14:paraId="60A85623" w14:textId="23B8CC79" w:rsidR="00E94D10" w:rsidRDefault="00E94D10" w:rsidP="008A0F79">
      <w:pPr>
        <w:pStyle w:val="Heading2"/>
        <w:ind w:left="360"/>
        <w:rPr>
          <w:rFonts w:cs="Arial"/>
        </w:rPr>
      </w:pPr>
    </w:p>
    <w:p w14:paraId="1179E593" w14:textId="15B9D647" w:rsidR="00E94D10" w:rsidRDefault="00A527E1" w:rsidP="009B7592">
      <w:pPr>
        <w:numPr>
          <w:ilvl w:val="0"/>
          <w:numId w:val="2"/>
        </w:numPr>
        <w:rPr>
          <w:rFonts w:cs="Arial"/>
          <w:lang w:val="en-GB"/>
        </w:rPr>
      </w:pPr>
      <w:r w:rsidRPr="00E94D10">
        <w:rPr>
          <w:rFonts w:cs="Arial"/>
          <w:lang w:val="en-GB"/>
        </w:rPr>
        <w:t xml:space="preserve">The CESCR, in its 2016 Concluding Observations, referred to “promising developments and the Government’s commitment to review its litigation strategies, economic, social and cultural rights.” (para 5). </w:t>
      </w:r>
      <w:r>
        <w:rPr>
          <w:rFonts w:cs="Arial"/>
          <w:lang w:val="en-GB"/>
        </w:rPr>
        <w:t xml:space="preserve"> The Committee was referring to the fact that </w:t>
      </w:r>
      <w:r w:rsidR="00A040A6" w:rsidRPr="00E94D10">
        <w:rPr>
          <w:rFonts w:cs="Arial"/>
          <w:lang w:val="en-GB"/>
        </w:rPr>
        <w:t xml:space="preserve">after being elected in 2016, Prime Minister Trudeau </w:t>
      </w:r>
      <w:r>
        <w:rPr>
          <w:rFonts w:cs="Arial"/>
          <w:lang w:val="en-GB"/>
        </w:rPr>
        <w:t xml:space="preserve">had </w:t>
      </w:r>
      <w:r w:rsidR="00A040A6" w:rsidRPr="00E94D10">
        <w:rPr>
          <w:rFonts w:cs="Arial"/>
          <w:lang w:val="en-GB"/>
        </w:rPr>
        <w:t xml:space="preserve">stated in his mandate letter to the </w:t>
      </w:r>
      <w:r w:rsidR="00552826" w:rsidRPr="00E94D10">
        <w:rPr>
          <w:rFonts w:cs="Arial"/>
          <w:lang w:val="en-GB"/>
        </w:rPr>
        <w:t>Attorney General</w:t>
      </w:r>
      <w:r w:rsidR="00A040A6" w:rsidRPr="00E94D10">
        <w:rPr>
          <w:rFonts w:cs="Arial"/>
          <w:lang w:val="en-GB"/>
        </w:rPr>
        <w:t xml:space="preserve"> that </w:t>
      </w:r>
      <w:r w:rsidR="00552826" w:rsidRPr="00E94D10">
        <w:rPr>
          <w:rFonts w:cs="Arial"/>
          <w:lang w:val="en-GB"/>
        </w:rPr>
        <w:t>she should “review our litigation strategy. This should include early decisions to end appeals or positions that are not consistent with our commitments, the Charter or our values.”  </w:t>
      </w:r>
      <w:r w:rsidR="007C407A" w:rsidRPr="00E94D10">
        <w:rPr>
          <w:rFonts w:cs="Arial"/>
          <w:lang w:val="en-GB"/>
        </w:rPr>
        <w:t xml:space="preserve"> The Committee recommended</w:t>
      </w:r>
      <w:r>
        <w:rPr>
          <w:rFonts w:cs="Arial"/>
          <w:lang w:val="en-GB"/>
        </w:rPr>
        <w:t xml:space="preserve"> in 2016</w:t>
      </w:r>
      <w:r w:rsidR="007C407A" w:rsidRPr="00E94D10">
        <w:rPr>
          <w:rFonts w:cs="Arial"/>
          <w:lang w:val="en-GB"/>
        </w:rPr>
        <w:t xml:space="preserve"> that</w:t>
      </w:r>
      <w:r>
        <w:rPr>
          <w:rFonts w:cs="Arial"/>
          <w:lang w:val="en-GB"/>
        </w:rPr>
        <w:t xml:space="preserve"> Canada</w:t>
      </w:r>
      <w:r w:rsidR="007C407A" w:rsidRPr="00E94D10">
        <w:rPr>
          <w:rFonts w:cs="Arial"/>
          <w:lang w:val="en-GB"/>
        </w:rPr>
        <w:t xml:space="preserve"> “implement its commitment to review its litigation strategies in order to foster the justiciability of the economic, social and cultural rights. The State party should engage civil society and organizations of indigenous peoples in that revision, with a view to broadening the interpretation of the Canadian Charter of Rights and Freedoms , notably sections 7, 12 and 15, to include economic social and cultural rights, and thus ensure the justiciability of Covenant rights</w:t>
      </w:r>
      <w:r w:rsidR="004E6501" w:rsidRPr="00E94D10">
        <w:rPr>
          <w:rFonts w:cs="Arial"/>
          <w:lang w:val="en-GB"/>
        </w:rPr>
        <w:t>.”</w:t>
      </w:r>
      <w:r w:rsidR="007C407A" w:rsidRPr="00E94D10">
        <w:rPr>
          <w:rFonts w:cs="Arial"/>
          <w:lang w:val="en-GB"/>
        </w:rPr>
        <w:t xml:space="preserve">  </w:t>
      </w:r>
    </w:p>
    <w:p w14:paraId="1C188A1B" w14:textId="02F766D5" w:rsidR="00552826" w:rsidRPr="00E94D10" w:rsidRDefault="004E6501" w:rsidP="009B7592">
      <w:pPr>
        <w:numPr>
          <w:ilvl w:val="0"/>
          <w:numId w:val="2"/>
        </w:numPr>
        <w:rPr>
          <w:rFonts w:cs="Arial"/>
          <w:lang w:val="en-GB"/>
        </w:rPr>
      </w:pPr>
      <w:r w:rsidRPr="00E94D10">
        <w:rPr>
          <w:rFonts w:cs="Arial"/>
        </w:rPr>
        <w:t xml:space="preserve">On </w:t>
      </w:r>
      <w:r w:rsidR="00552826">
        <w:t>December 10, 2018,</w:t>
      </w:r>
      <w:r>
        <w:t xml:space="preserve"> without any engagement with civil society</w:t>
      </w:r>
      <w:r w:rsidR="00E94D10">
        <w:t xml:space="preserve"> that we are aware of</w:t>
      </w:r>
      <w:r>
        <w:t>,</w:t>
      </w:r>
      <w:r w:rsidR="00552826">
        <w:t xml:space="preserve"> the Minister </w:t>
      </w:r>
      <w:r>
        <w:t xml:space="preserve">released the </w:t>
      </w:r>
      <w:bookmarkStart w:id="21" w:name="_Hlk32189945"/>
      <w:r w:rsidR="00552826" w:rsidRPr="00E94D10">
        <w:rPr>
          <w:i/>
          <w:iCs/>
        </w:rPr>
        <w:fldChar w:fldCharType="begin"/>
      </w:r>
      <w:r w:rsidR="00552826" w:rsidRPr="00E94D10">
        <w:rPr>
          <w:i/>
          <w:iCs/>
        </w:rPr>
        <w:instrText xml:space="preserve"> HYPERLINK "https://www.justice.gc.ca/eng/csj-sjc/principles2-principes2.html" </w:instrText>
      </w:r>
      <w:r w:rsidR="00552826" w:rsidRPr="00E94D10">
        <w:rPr>
          <w:i/>
          <w:iCs/>
        </w:rPr>
        <w:fldChar w:fldCharType="separate"/>
      </w:r>
      <w:r w:rsidR="00552826" w:rsidRPr="00E94D10">
        <w:rPr>
          <w:rStyle w:val="Hyperlink"/>
          <w:i/>
          <w:iCs/>
        </w:rPr>
        <w:t>Principles guiding the Attorney General of Canada in Charter litigation</w:t>
      </w:r>
      <w:r w:rsidR="00552826" w:rsidRPr="00E94D10">
        <w:rPr>
          <w:i/>
          <w:iCs/>
        </w:rPr>
        <w:fldChar w:fldCharType="end"/>
      </w:r>
      <w:bookmarkEnd w:id="21"/>
      <w:r w:rsidR="00552826">
        <w:t>.  We were shocked to see that there is</w:t>
      </w:r>
      <w:r>
        <w:t xml:space="preserve"> not</w:t>
      </w:r>
      <w:r w:rsidR="00552826">
        <w:t xml:space="preserve"> a single reference to</w:t>
      </w:r>
      <w:r w:rsidR="00A527E1">
        <w:t xml:space="preserve"> the</w:t>
      </w:r>
      <w:r w:rsidR="00552826">
        <w:t xml:space="preserve"> </w:t>
      </w:r>
      <w:r>
        <w:t>“</w:t>
      </w:r>
      <w:r w:rsidR="00552826">
        <w:t>values</w:t>
      </w:r>
      <w:r>
        <w:t>”</w:t>
      </w:r>
      <w:r w:rsidR="00A527E1">
        <w:t xml:space="preserve"> referred to in the Prime Minister’s mandate letter</w:t>
      </w:r>
      <w:r w:rsidR="00552826">
        <w:t xml:space="preserve">, or to the obligation to interpret the </w:t>
      </w:r>
      <w:r w:rsidR="00F455BC">
        <w:t xml:space="preserve">Canadian </w:t>
      </w:r>
      <w:r w:rsidR="00552826">
        <w:t>Charter consistently with international human rights ratified by Canada</w:t>
      </w:r>
      <w:r w:rsidR="00A527E1">
        <w:t xml:space="preserve">, as affirmed by the Supreme </w:t>
      </w:r>
      <w:proofErr w:type="spellStart"/>
      <w:r w:rsidR="00A527E1">
        <w:t>Courta</w:t>
      </w:r>
      <w:proofErr w:type="spellEnd"/>
      <w:r w:rsidR="00552826">
        <w:t xml:space="preserve">.  </w:t>
      </w:r>
      <w:r>
        <w:t xml:space="preserve">While affirming a commitment to the rule of law, the Guidelines do not reference any </w:t>
      </w:r>
      <w:r w:rsidR="00552826">
        <w:t xml:space="preserve">broader rule of law obligations </w:t>
      </w:r>
      <w:r>
        <w:t xml:space="preserve">with respect to international human rights as described in the CESCR’s General Comment No. 9. </w:t>
      </w:r>
      <w:r w:rsidR="00552826">
        <w:t> </w:t>
      </w:r>
      <w:r>
        <w:t xml:space="preserve">The Guidelines </w:t>
      </w:r>
      <w:r w:rsidR="00552826">
        <w:t>authorize Justice lawyers to make “any viable argument” to defend against Charter challenges, with little or no accountability to Charter or international human rights values.</w:t>
      </w:r>
    </w:p>
    <w:p w14:paraId="4C3BFE05" w14:textId="77777777" w:rsidR="004E6501" w:rsidRPr="00C5478C" w:rsidRDefault="004E6501" w:rsidP="004E6501">
      <w:pPr>
        <w:rPr>
          <w:rFonts w:cs="Arial"/>
        </w:rPr>
      </w:pPr>
    </w:p>
    <w:p w14:paraId="348CDB16" w14:textId="77777777" w:rsidR="004E6501" w:rsidRPr="00C5478C" w:rsidRDefault="004E6501" w:rsidP="004E6501">
      <w:pPr>
        <w:ind w:right="-54"/>
        <w:rPr>
          <w:rFonts w:cs="Arial"/>
          <w:b/>
        </w:rPr>
      </w:pPr>
      <w:r>
        <w:rPr>
          <w:rFonts w:cs="Arial"/>
          <w:b/>
          <w:noProof/>
        </w:rPr>
        <mc:AlternateContent>
          <mc:Choice Requires="wps">
            <w:drawing>
              <wp:inline distT="0" distB="0" distL="0" distR="0" wp14:anchorId="791FF472" wp14:editId="3041DE90">
                <wp:extent cx="6035040" cy="2042160"/>
                <wp:effectExtent l="0" t="0" r="60960" b="53340"/>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04216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24064E5C" w14:textId="6BB20CBA" w:rsidR="00760C74" w:rsidRPr="00C5478C" w:rsidRDefault="00760C74" w:rsidP="004E6501">
                            <w:pPr>
                              <w:ind w:right="432" w:firstLine="432"/>
                              <w:rPr>
                                <w:rFonts w:cs="Arial"/>
                              </w:rPr>
                            </w:pPr>
                            <w:r>
                              <w:rPr>
                                <w:rFonts w:cs="Arial"/>
                                <w:b/>
                                <w:u w:val="single"/>
                              </w:rPr>
                              <w:t xml:space="preserve">Revising the </w:t>
                            </w:r>
                            <w:hyperlink r:id="rId8" w:history="1">
                              <w:r w:rsidRPr="004E6501">
                                <w:rPr>
                                  <w:rStyle w:val="Hyperlink"/>
                                  <w:rFonts w:cs="Arial"/>
                                  <w:b/>
                                  <w:i/>
                                  <w:iCs/>
                                </w:rPr>
                                <w:t>Principles guiding the Attorney General of Canada in Charter litigation</w:t>
                              </w:r>
                            </w:hyperlink>
                          </w:p>
                          <w:p w14:paraId="6C729E59" w14:textId="045B11E8" w:rsidR="00760C74" w:rsidRDefault="00760C74" w:rsidP="00F455BC">
                            <w:pPr>
                              <w:ind w:right="432"/>
                              <w:rPr>
                                <w:rFonts w:cs="Arial"/>
                                <w:b/>
                              </w:rPr>
                            </w:pPr>
                            <w:r>
                              <w:rPr>
                                <w:rFonts w:cs="Arial"/>
                                <w:b/>
                              </w:rPr>
                              <w:t xml:space="preserve">2. The Committee should request information from the federal government about how it implemented the Committee’s recommendation in paragraph 6 of the 2016 Concluding Observations in its review of litigation strategies under the Charter. Canada should be asked if the current Attorney General will consider revising the </w:t>
                            </w:r>
                            <w:hyperlink r:id="rId9" w:history="1">
                              <w:r w:rsidRPr="00533977">
                                <w:rPr>
                                  <w:rStyle w:val="Hyperlink"/>
                                  <w:rFonts w:cs="Arial"/>
                                  <w:b/>
                                  <w:i/>
                                  <w:iCs/>
                                  <w:u w:val="none"/>
                                </w:rPr>
                                <w:t>Principles guiding the Attorney General of Canada in Charter litigation</w:t>
                              </w:r>
                            </w:hyperlink>
                            <w:r w:rsidRPr="00533977">
                              <w:rPr>
                                <w:rFonts w:cs="Arial"/>
                                <w:b/>
                              </w:rPr>
                              <w:t xml:space="preserve"> adopted by the previous Attorney General, to include references to values such as respect for the inherent dignity of the human person, commitment to </w:t>
                            </w:r>
                            <w:r w:rsidRPr="00533977">
                              <w:rPr>
                                <w:rFonts w:cs="Arial"/>
                                <w:b/>
                                <w:bCs/>
                              </w:rPr>
                              <w:t>social justice</w:t>
                            </w:r>
                            <w:r w:rsidRPr="00533977">
                              <w:rPr>
                                <w:rFonts w:cs="Arial"/>
                                <w:b/>
                              </w:rPr>
                              <w:t> and equality, and to Canada’s commitments to international human rights, including ESC rights.</w:t>
                            </w:r>
                          </w:p>
                          <w:p w14:paraId="088287E8" w14:textId="5CB3DEAD" w:rsidR="00760C74" w:rsidRPr="00AE4C6F" w:rsidRDefault="00760C74" w:rsidP="00E94D10">
                            <w:pPr>
                              <w:ind w:right="432"/>
                              <w:rPr>
                                <w:rFonts w:cs="Arial"/>
                                <w:b/>
                              </w:rPr>
                            </w:pPr>
                            <w:r>
                              <w:rPr>
                                <w:rFonts w:cs="Arial"/>
                                <w:b/>
                              </w:rPr>
                              <w:t xml:space="preserve"> </w:t>
                            </w:r>
                          </w:p>
                        </w:txbxContent>
                      </wps:txbx>
                      <wps:bodyPr rot="0" vert="horz" wrap="square" lIns="91440" tIns="45720" rIns="91440" bIns="45720" anchor="t" anchorCtr="0" upright="1">
                        <a:noAutofit/>
                      </wps:bodyPr>
                    </wps:wsp>
                  </a:graphicData>
                </a:graphic>
              </wp:inline>
            </w:drawing>
          </mc:Choice>
          <mc:Fallback>
            <w:pict>
              <v:shape w14:anchorId="791FF472" id="_x0000_s1027" type="#_x0000_t202" style="width:475.2pt;height:1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" fillcolor="#f2f2f2">
                <v:shadow on="t"/>
                <v:textbox>
                  <w:txbxContent>
                    <w:p w14:paraId="24064E5C" w14:textId="6BB20CBA" w:rsidR="00760C74" w:rsidRPr="00C5478C" w:rsidRDefault="00760C74" w:rsidP="004E6501">
                      <w:pPr>
                        <w:ind w:right="432" w:firstLine="432"/>
                        <w:rPr>
                          <w:rFonts w:cs="Arial"/>
                        </w:rPr>
                      </w:pPr>
                      <w:r>
                        <w:rPr>
                          <w:rFonts w:cs="Arial"/>
                          <w:b/>
                          <w:u w:val="single"/>
                        </w:rPr>
                        <w:t xml:space="preserve">Revising the </w:t>
                      </w:r>
                      <w:hyperlink r:id="rId10" w:history="1">
                        <w:r w:rsidRPr="004E6501">
                          <w:rPr>
                            <w:rStyle w:val="Hyperlink"/>
                            <w:rFonts w:cs="Arial"/>
                            <w:b/>
                            <w:i/>
                            <w:iCs/>
                          </w:rPr>
                          <w:t>Principles guiding the Attorney General of Canada in Charter litigation</w:t>
                        </w:r>
                      </w:hyperlink>
                    </w:p>
                    <w:p w14:paraId="6C729E59" w14:textId="045B11E8" w:rsidR="00760C74" w:rsidRDefault="00760C74" w:rsidP="00F455BC">
                      <w:pPr>
                        <w:ind w:right="432"/>
                        <w:rPr>
                          <w:rFonts w:cs="Arial"/>
                          <w:b/>
                        </w:rPr>
                      </w:pPr>
                      <w:r>
                        <w:rPr>
                          <w:rFonts w:cs="Arial"/>
                          <w:b/>
                        </w:rPr>
                        <w:t xml:space="preserve">2. The Committee should request information from the federal government about how it implemented the Committee’s recommendation in paragraph 6 of the 2016 Concluding Observations in its review of litigation strategies under the Charter. Canada should be asked if the current Attorney General will consider revising the </w:t>
                      </w:r>
                      <w:hyperlink r:id="rId11" w:history="1">
                        <w:r w:rsidRPr="00533977">
                          <w:rPr>
                            <w:rStyle w:val="Hyperlink"/>
                            <w:rFonts w:cs="Arial"/>
                            <w:b/>
                            <w:i/>
                            <w:iCs/>
                            <w:u w:val="none"/>
                          </w:rPr>
                          <w:t>Principles guiding the Attorney General of Canada in Charter litigation</w:t>
                        </w:r>
                      </w:hyperlink>
                      <w:r w:rsidRPr="00533977">
                        <w:rPr>
                          <w:rFonts w:cs="Arial"/>
                          <w:b/>
                        </w:rPr>
                        <w:t xml:space="preserve"> adopted by the previous Attorney General, to include references to values such as respect for the inherent dignity of the human person, commitment to </w:t>
                      </w:r>
                      <w:r w:rsidRPr="00533977">
                        <w:rPr>
                          <w:rFonts w:cs="Arial"/>
                          <w:b/>
                          <w:bCs/>
                        </w:rPr>
                        <w:t>social justice</w:t>
                      </w:r>
                      <w:r w:rsidRPr="00533977">
                        <w:rPr>
                          <w:rFonts w:cs="Arial"/>
                          <w:b/>
                        </w:rPr>
                        <w:t> and equality, and to Canada’s commitments to international human rights, including ESC rights.</w:t>
                      </w:r>
                    </w:p>
                    <w:p w14:paraId="088287E8" w14:textId="5CB3DEAD" w:rsidR="00760C74" w:rsidRPr="00AE4C6F" w:rsidRDefault="00760C74" w:rsidP="00E94D10">
                      <w:pPr>
                        <w:ind w:right="432"/>
                        <w:rPr>
                          <w:rFonts w:cs="Arial"/>
                          <w:b/>
                        </w:rPr>
                      </w:pPr>
                      <w:r>
                        <w:rPr>
                          <w:rFonts w:cs="Arial"/>
                          <w:b/>
                        </w:rPr>
                        <w:t xml:space="preserve"> </w:t>
                      </w:r>
                    </w:p>
                  </w:txbxContent>
                </v:textbox>
                <w10:anchorlock/>
              </v:shape>
            </w:pict>
          </mc:Fallback>
        </mc:AlternateContent>
      </w:r>
    </w:p>
    <w:p w14:paraId="20CBA4FA" w14:textId="77777777" w:rsidR="00F51710" w:rsidRDefault="00F51710" w:rsidP="00F51710">
      <w:pPr>
        <w:rPr>
          <w:rFonts w:cs="Arial"/>
          <w:b/>
          <w:bCs/>
        </w:rPr>
      </w:pPr>
    </w:p>
    <w:p w14:paraId="3F84CF01" w14:textId="02A33B1A" w:rsidR="00F51710" w:rsidRPr="008A0F79" w:rsidRDefault="000D53E0" w:rsidP="00B604D1">
      <w:pPr>
        <w:pStyle w:val="Heading2"/>
        <w:numPr>
          <w:ilvl w:val="0"/>
          <w:numId w:val="24"/>
        </w:numPr>
        <w:rPr>
          <w:color w:val="0070C0"/>
          <w:sz w:val="24"/>
          <w:szCs w:val="24"/>
        </w:rPr>
      </w:pPr>
      <w:bookmarkStart w:id="22" w:name="_Toc32279500"/>
      <w:bookmarkStart w:id="23" w:name="_Toc115198220"/>
      <w:r w:rsidRPr="008A0F79">
        <w:rPr>
          <w:color w:val="0070C0"/>
          <w:sz w:val="24"/>
          <w:szCs w:val="24"/>
        </w:rPr>
        <w:t xml:space="preserve">Accountability of </w:t>
      </w:r>
      <w:r w:rsidR="00F51710" w:rsidRPr="008A0F79">
        <w:rPr>
          <w:color w:val="0070C0"/>
          <w:sz w:val="24"/>
          <w:szCs w:val="24"/>
        </w:rPr>
        <w:t xml:space="preserve">the </w:t>
      </w:r>
      <w:r w:rsidRPr="008A0F79">
        <w:rPr>
          <w:color w:val="0070C0"/>
          <w:sz w:val="24"/>
          <w:szCs w:val="24"/>
        </w:rPr>
        <w:t>i</w:t>
      </w:r>
      <w:r w:rsidR="00F51710" w:rsidRPr="008A0F79">
        <w:rPr>
          <w:color w:val="0070C0"/>
          <w:sz w:val="24"/>
          <w:szCs w:val="24"/>
        </w:rPr>
        <w:t xml:space="preserve">ndependent </w:t>
      </w:r>
      <w:r w:rsidRPr="008A0F79">
        <w:rPr>
          <w:color w:val="0070C0"/>
          <w:sz w:val="24"/>
          <w:szCs w:val="24"/>
        </w:rPr>
        <w:t>j</w:t>
      </w:r>
      <w:r w:rsidR="00F51710" w:rsidRPr="008A0F79">
        <w:rPr>
          <w:color w:val="0070C0"/>
          <w:sz w:val="24"/>
          <w:szCs w:val="24"/>
        </w:rPr>
        <w:t>udiciary and administrative tribunals regarding the domestic implementation of the Covenant</w:t>
      </w:r>
      <w:bookmarkEnd w:id="22"/>
      <w:bookmarkEnd w:id="23"/>
      <w:r w:rsidR="00F51710" w:rsidRPr="008A0F79">
        <w:rPr>
          <w:color w:val="0070C0"/>
          <w:sz w:val="24"/>
          <w:szCs w:val="24"/>
        </w:rPr>
        <w:t xml:space="preserve"> </w:t>
      </w:r>
    </w:p>
    <w:p w14:paraId="6FA608C9" w14:textId="77777777" w:rsidR="00E94D10" w:rsidRPr="00E94D10" w:rsidRDefault="00E94D10" w:rsidP="00E94D10"/>
    <w:p w14:paraId="65063E71" w14:textId="77777777" w:rsidR="00F51710" w:rsidRDefault="00F51710" w:rsidP="009B7592">
      <w:pPr>
        <w:numPr>
          <w:ilvl w:val="0"/>
          <w:numId w:val="2"/>
        </w:numPr>
        <w:rPr>
          <w:rFonts w:cs="Arial"/>
        </w:rPr>
      </w:pPr>
      <w:r>
        <w:rPr>
          <w:rFonts w:cs="Arial"/>
        </w:rPr>
        <w:t>Canada’s commitments to implement the ICESCR apply to all parts of the State, including the judiciary.  As noted by the Committee in General Comment No. 9, the obligation of the judicial branch with respect to the interpretation of domestic law in conformity with binding international human rights law is critical to a State’s compliance with the Covenant. This is particularly true in Canada, where access to effective remedies relies on interpretation of broadly framed rights in the Charter and of other law.  In its 2016 Concluding Observations the Committee recommended that Canada “</w:t>
      </w:r>
      <w:r w:rsidRPr="001749A2">
        <w:rPr>
          <w:rFonts w:cs="Arial"/>
        </w:rPr>
        <w:t xml:space="preserve">improve human rights </w:t>
      </w:r>
      <w:r>
        <w:rPr>
          <w:rFonts w:cs="Arial"/>
        </w:rPr>
        <w:t>tr</w:t>
      </w:r>
      <w:r w:rsidRPr="001749A2">
        <w:rPr>
          <w:rFonts w:cs="Arial"/>
        </w:rPr>
        <w:t>aining programmes in order to ensure better knowledge, awareness and application of the Covenant, in particular among the judiciary and law enforcement and public officials.</w:t>
      </w:r>
      <w:r>
        <w:rPr>
          <w:rFonts w:cs="Arial"/>
        </w:rPr>
        <w:t>”</w:t>
      </w:r>
      <w:r w:rsidRPr="001749A2">
        <w:rPr>
          <w:rFonts w:cs="Arial"/>
        </w:rPr>
        <w:t xml:space="preserve"> </w:t>
      </w:r>
    </w:p>
    <w:p w14:paraId="39DFDA08" w14:textId="4B1F0A65" w:rsidR="00F51710" w:rsidRPr="000D53E0" w:rsidRDefault="00F51710" w:rsidP="000D53E0">
      <w:pPr>
        <w:ind w:right="-54"/>
        <w:rPr>
          <w:rFonts w:cs="Arial"/>
          <w:b/>
        </w:rPr>
      </w:pPr>
      <w:r>
        <w:rPr>
          <w:rFonts w:cs="Arial"/>
          <w:b/>
          <w:noProof/>
        </w:rPr>
        <mc:AlternateContent>
          <mc:Choice Requires="wps">
            <w:drawing>
              <wp:inline distT="0" distB="0" distL="0" distR="0" wp14:anchorId="6DB7E661" wp14:editId="6A03FCEC">
                <wp:extent cx="6187440" cy="1821180"/>
                <wp:effectExtent l="0" t="0" r="60960" b="64770"/>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82118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01B6FF17" w14:textId="27FF541E" w:rsidR="00760C74" w:rsidRPr="001749A2" w:rsidRDefault="00760C74" w:rsidP="00F51710">
                            <w:pPr>
                              <w:ind w:left="432" w:right="432" w:hanging="360"/>
                              <w:rPr>
                                <w:b/>
                                <w:bCs/>
                                <w:u w:val="single"/>
                              </w:rPr>
                            </w:pPr>
                            <w:r>
                              <w:rPr>
                                <w:b/>
                                <w:bCs/>
                                <w:u w:val="single"/>
                              </w:rPr>
                              <w:t>Accountability of the Judicial Branch and Public Officials</w:t>
                            </w:r>
                            <w:r w:rsidRPr="001749A2">
                              <w:rPr>
                                <w:b/>
                                <w:bCs/>
                                <w:u w:val="single"/>
                              </w:rPr>
                              <w:t xml:space="preserve"> </w:t>
                            </w:r>
                          </w:p>
                          <w:p w14:paraId="6464D68B" w14:textId="296D769B" w:rsidR="00760C74" w:rsidRDefault="00760C74" w:rsidP="004B71A6">
                            <w:pPr>
                              <w:ind w:right="432"/>
                              <w:rPr>
                                <w:rFonts w:cs="Arial"/>
                                <w:b/>
                              </w:rPr>
                            </w:pPr>
                            <w:r>
                              <w:rPr>
                                <w:rFonts w:cs="Arial"/>
                                <w:b/>
                              </w:rPr>
                              <w:t xml:space="preserve">3. Canada should be asked whether its recommendation in paragraph 6 of the 2016 Concluding Observations, to </w:t>
                            </w:r>
                            <w:r w:rsidRPr="007C32F5">
                              <w:rPr>
                                <w:rFonts w:cs="Arial"/>
                                <w:b/>
                                <w:bCs/>
                              </w:rPr>
                              <w:t xml:space="preserve">ensure better knowledge, awareness and application of the Covenant </w:t>
                            </w:r>
                            <w:r>
                              <w:rPr>
                                <w:rFonts w:cs="Arial"/>
                                <w:b/>
                                <w:bCs/>
                              </w:rPr>
                              <w:t xml:space="preserve">among </w:t>
                            </w:r>
                            <w:r w:rsidRPr="007C32F5">
                              <w:rPr>
                                <w:rFonts w:cs="Arial"/>
                                <w:b/>
                                <w:bCs/>
                              </w:rPr>
                              <w:t>the judiciary</w:t>
                            </w:r>
                            <w:r>
                              <w:rPr>
                                <w:rFonts w:cs="Arial"/>
                                <w:b/>
                                <w:bCs/>
                              </w:rPr>
                              <w:t>,</w:t>
                            </w:r>
                            <w:r w:rsidRPr="007C32F5">
                              <w:rPr>
                                <w:rFonts w:cs="Arial"/>
                                <w:b/>
                                <w:bCs/>
                              </w:rPr>
                              <w:t xml:space="preserve"> law enforcement and public offi</w:t>
                            </w:r>
                            <w:r>
                              <w:rPr>
                                <w:rFonts w:cs="Arial"/>
                                <w:b/>
                                <w:bCs/>
                              </w:rPr>
                              <w:t>c</w:t>
                            </w:r>
                            <w:r w:rsidRPr="007C32F5">
                              <w:rPr>
                                <w:rFonts w:cs="Arial"/>
                                <w:b/>
                                <w:bCs/>
                              </w:rPr>
                              <w:t>ials</w:t>
                            </w:r>
                            <w:r>
                              <w:rPr>
                                <w:rFonts w:cs="Arial"/>
                                <w:b/>
                              </w:rPr>
                              <w:t>, was referred to the National Judicial Institute, to the courts or to administrative tribunals or to other oversight bodies.  If not, could Canada suggest how courts and tribunals could be apprised in future of concerns with respect to the responsibilities of the judicial branch, as described in General Comment No. 9, while fully respecting the independence of the judiciary.</w:t>
                            </w:r>
                          </w:p>
                          <w:p w14:paraId="0B876D64" w14:textId="77777777" w:rsidR="00760C74" w:rsidRPr="00715BF4" w:rsidRDefault="00760C74" w:rsidP="009B7592">
                            <w:pPr>
                              <w:numPr>
                                <w:ilvl w:val="0"/>
                                <w:numId w:val="3"/>
                              </w:numPr>
                              <w:ind w:left="72" w:right="432"/>
                              <w:rPr>
                                <w:rFonts w:cs="Arial"/>
                                <w:b/>
                              </w:rPr>
                            </w:pPr>
                            <w:r>
                              <w:rPr>
                                <w:rFonts w:cs="Arial"/>
                                <w:b/>
                              </w:rPr>
                              <w:t xml:space="preserve"> </w:t>
                            </w:r>
                          </w:p>
                        </w:txbxContent>
                      </wps:txbx>
                      <wps:bodyPr rot="0" vert="horz" wrap="square" lIns="91440" tIns="45720" rIns="91440" bIns="45720" anchor="t" anchorCtr="0" upright="1">
                        <a:noAutofit/>
                      </wps:bodyPr>
                    </wps:wsp>
                  </a:graphicData>
                </a:graphic>
              </wp:inline>
            </w:drawing>
          </mc:Choice>
          <mc:Fallback>
            <w:pict>
              <v:shape w14:anchorId="6DB7E661" id="_x0000_s1028" type="#_x0000_t202" style="width:487.2pt;height:1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" fillcolor="#f2f2f2">
                <v:shadow on="t"/>
                <v:textbox>
                  <w:txbxContent>
                    <w:p w14:paraId="01B6FF17" w14:textId="27FF541E" w:rsidR="00760C74" w:rsidRPr="001749A2" w:rsidRDefault="00760C74" w:rsidP="00F51710">
                      <w:pPr>
                        <w:ind w:left="432" w:right="432" w:hanging="360"/>
                        <w:rPr>
                          <w:b/>
                          <w:bCs/>
                          <w:u w:val="single"/>
                        </w:rPr>
                      </w:pPr>
                      <w:r>
                        <w:rPr>
                          <w:b/>
                          <w:bCs/>
                          <w:u w:val="single"/>
                        </w:rPr>
                        <w:t>Accountability of the Judicial Branch and Public Officials</w:t>
                      </w:r>
                      <w:r w:rsidRPr="001749A2">
                        <w:rPr>
                          <w:b/>
                          <w:bCs/>
                          <w:u w:val="single"/>
                        </w:rPr>
                        <w:t xml:space="preserve"> </w:t>
                      </w:r>
                    </w:p>
                    <w:p w14:paraId="6464D68B" w14:textId="296D769B" w:rsidR="00760C74" w:rsidRDefault="00760C74" w:rsidP="004B71A6">
                      <w:pPr>
                        <w:ind w:right="432"/>
                        <w:rPr>
                          <w:rFonts w:cs="Arial"/>
                          <w:b/>
                        </w:rPr>
                      </w:pPr>
                      <w:r>
                        <w:rPr>
                          <w:rFonts w:cs="Arial"/>
                          <w:b/>
                        </w:rPr>
                        <w:t xml:space="preserve">3. Canada should be asked whether its recommendation in paragraph 6 of the 2016 Concluding Observations, to </w:t>
                      </w:r>
                      <w:r w:rsidRPr="007C32F5">
                        <w:rPr>
                          <w:rFonts w:cs="Arial"/>
                          <w:b/>
                          <w:bCs/>
                        </w:rPr>
                        <w:t xml:space="preserve">ensure better knowledge, awareness and application of the Covenant </w:t>
                      </w:r>
                      <w:r>
                        <w:rPr>
                          <w:rFonts w:cs="Arial"/>
                          <w:b/>
                          <w:bCs/>
                        </w:rPr>
                        <w:t xml:space="preserve">among </w:t>
                      </w:r>
                      <w:r w:rsidRPr="007C32F5">
                        <w:rPr>
                          <w:rFonts w:cs="Arial"/>
                          <w:b/>
                          <w:bCs/>
                        </w:rPr>
                        <w:t>the judiciary</w:t>
                      </w:r>
                      <w:r>
                        <w:rPr>
                          <w:rFonts w:cs="Arial"/>
                          <w:b/>
                          <w:bCs/>
                        </w:rPr>
                        <w:t>,</w:t>
                      </w:r>
                      <w:r w:rsidRPr="007C32F5">
                        <w:rPr>
                          <w:rFonts w:cs="Arial"/>
                          <w:b/>
                          <w:bCs/>
                        </w:rPr>
                        <w:t xml:space="preserve"> law enforcement and public offi</w:t>
                      </w:r>
                      <w:r>
                        <w:rPr>
                          <w:rFonts w:cs="Arial"/>
                          <w:b/>
                          <w:bCs/>
                        </w:rPr>
                        <w:t>c</w:t>
                      </w:r>
                      <w:r w:rsidRPr="007C32F5">
                        <w:rPr>
                          <w:rFonts w:cs="Arial"/>
                          <w:b/>
                          <w:bCs/>
                        </w:rPr>
                        <w:t>ials</w:t>
                      </w:r>
                      <w:r>
                        <w:rPr>
                          <w:rFonts w:cs="Arial"/>
                          <w:b/>
                        </w:rPr>
                        <w:t>, was referred to the National Judicial Institute, to the courts or to administrative tribunals or to other oversight bodies.  If not, could Canada suggest how courts and tribunals could be apprised in future of concerns with respect to the responsibilities of the judicial branch, as described in General Comment No. 9, while fully respecting the independence of the judiciary.</w:t>
                      </w:r>
                    </w:p>
                    <w:p w14:paraId="0B876D64" w14:textId="77777777" w:rsidR="00760C74" w:rsidRPr="00715BF4" w:rsidRDefault="00760C74" w:rsidP="009B7592">
                      <w:pPr>
                        <w:numPr>
                          <w:ilvl w:val="0"/>
                          <w:numId w:val="3"/>
                        </w:numPr>
                        <w:ind w:left="72" w:right="432"/>
                        <w:rPr>
                          <w:rFonts w:cs="Arial"/>
                          <w:b/>
                        </w:rPr>
                      </w:pPr>
                      <w:r>
                        <w:rPr>
                          <w:rFonts w:cs="Arial"/>
                          <w:b/>
                        </w:rPr>
                        <w:t xml:space="preserve"> </w:t>
                      </w:r>
                    </w:p>
                  </w:txbxContent>
                </v:textbox>
                <w10:anchorlock/>
              </v:shape>
            </w:pict>
          </mc:Fallback>
        </mc:AlternateContent>
      </w:r>
    </w:p>
    <w:p w14:paraId="573AF0C6" w14:textId="77777777" w:rsidR="00760C74" w:rsidRDefault="00760C74" w:rsidP="00760C74">
      <w:pPr>
        <w:pStyle w:val="Heading2"/>
        <w:rPr>
          <w:rFonts w:cs="Arial"/>
          <w:b w:val="0"/>
          <w:bCs w:val="0"/>
        </w:rPr>
      </w:pPr>
    </w:p>
    <w:p w14:paraId="5CEA748B" w14:textId="77777777" w:rsidR="00760C74" w:rsidRDefault="00760C74" w:rsidP="00760C74">
      <w:pPr>
        <w:pStyle w:val="Heading2"/>
        <w:ind w:left="1080"/>
        <w:rPr>
          <w:rFonts w:cs="Arial"/>
          <w:b w:val="0"/>
          <w:bCs w:val="0"/>
        </w:rPr>
      </w:pPr>
    </w:p>
    <w:p w14:paraId="5BBC3980" w14:textId="3542BD3C" w:rsidR="00F51710" w:rsidRPr="008A0F79" w:rsidRDefault="00F51710" w:rsidP="00B604D1">
      <w:pPr>
        <w:pStyle w:val="Heading2"/>
        <w:numPr>
          <w:ilvl w:val="0"/>
          <w:numId w:val="24"/>
        </w:numPr>
        <w:rPr>
          <w:color w:val="0070C0"/>
          <w:sz w:val="24"/>
          <w:szCs w:val="24"/>
        </w:rPr>
      </w:pPr>
      <w:bookmarkStart w:id="24" w:name="_Toc32279501"/>
      <w:bookmarkStart w:id="25" w:name="_Toc115198221"/>
      <w:r w:rsidRPr="008A0F79">
        <w:rPr>
          <w:color w:val="0070C0"/>
          <w:sz w:val="24"/>
          <w:szCs w:val="24"/>
        </w:rPr>
        <w:t xml:space="preserve">The protection of the right to life in access to </w:t>
      </w:r>
      <w:r w:rsidR="00760C74" w:rsidRPr="008A0F79">
        <w:rPr>
          <w:color w:val="0070C0"/>
          <w:sz w:val="24"/>
          <w:szCs w:val="24"/>
        </w:rPr>
        <w:t xml:space="preserve">private and public </w:t>
      </w:r>
      <w:r w:rsidRPr="008A0F79">
        <w:rPr>
          <w:color w:val="0070C0"/>
          <w:sz w:val="24"/>
          <w:szCs w:val="24"/>
        </w:rPr>
        <w:t>health care</w:t>
      </w:r>
      <w:bookmarkEnd w:id="24"/>
      <w:bookmarkEnd w:id="25"/>
      <w:r w:rsidR="00760C74" w:rsidRPr="008A0F79">
        <w:rPr>
          <w:color w:val="0070C0"/>
          <w:sz w:val="24"/>
          <w:szCs w:val="24"/>
        </w:rPr>
        <w:t xml:space="preserve"> </w:t>
      </w:r>
    </w:p>
    <w:p w14:paraId="5EF6C01C" w14:textId="77777777" w:rsidR="00F51710" w:rsidRDefault="00F51710" w:rsidP="00F51710">
      <w:pPr>
        <w:rPr>
          <w:rFonts w:cs="Arial"/>
        </w:rPr>
      </w:pPr>
    </w:p>
    <w:p w14:paraId="766EBF22" w14:textId="1D868586" w:rsidR="00F51710" w:rsidRDefault="00F51710" w:rsidP="009B7592">
      <w:pPr>
        <w:numPr>
          <w:ilvl w:val="0"/>
          <w:numId w:val="2"/>
        </w:numPr>
        <w:rPr>
          <w:rFonts w:cs="Arial"/>
        </w:rPr>
      </w:pPr>
      <w:r>
        <w:rPr>
          <w:rFonts w:cs="Arial"/>
        </w:rPr>
        <w:t xml:space="preserve">In </w:t>
      </w:r>
      <w:proofErr w:type="spellStart"/>
      <w:r w:rsidRPr="005A432A">
        <w:rPr>
          <w:rFonts w:cs="Arial"/>
          <w:i/>
          <w:iCs/>
        </w:rPr>
        <w:t>Chaoulli</w:t>
      </w:r>
      <w:proofErr w:type="spellEnd"/>
      <w:r w:rsidRPr="005A432A">
        <w:rPr>
          <w:rFonts w:cs="Arial"/>
          <w:i/>
          <w:iCs/>
        </w:rPr>
        <w:t xml:space="preserve"> v Quebec</w:t>
      </w:r>
      <w:r>
        <w:rPr>
          <w:rFonts w:cs="Arial"/>
        </w:rPr>
        <w:t xml:space="preserve"> </w:t>
      </w:r>
      <w:r w:rsidRPr="006B49CA">
        <w:rPr>
          <w:rFonts w:cs="Arial"/>
        </w:rPr>
        <w:t xml:space="preserve">the Supreme Court of Canada considered a claim </w:t>
      </w:r>
      <w:r>
        <w:rPr>
          <w:rFonts w:cs="Arial"/>
        </w:rPr>
        <w:t xml:space="preserve">on behalf of relatively affluent health care consumers, </w:t>
      </w:r>
      <w:r w:rsidRPr="006B49CA">
        <w:rPr>
          <w:rFonts w:cs="Arial"/>
        </w:rPr>
        <w:t>challeng</w:t>
      </w:r>
      <w:r>
        <w:rPr>
          <w:rFonts w:cs="Arial"/>
        </w:rPr>
        <w:t>ing</w:t>
      </w:r>
      <w:r w:rsidRPr="006B49CA">
        <w:rPr>
          <w:rFonts w:cs="Arial"/>
        </w:rPr>
        <w:t xml:space="preserve"> legislation that prevented </w:t>
      </w:r>
      <w:r>
        <w:rPr>
          <w:rFonts w:cs="Arial"/>
        </w:rPr>
        <w:t xml:space="preserve">them </w:t>
      </w:r>
      <w:r w:rsidRPr="006B49CA">
        <w:rPr>
          <w:rFonts w:cs="Arial"/>
        </w:rPr>
        <w:t xml:space="preserve">from </w:t>
      </w:r>
      <w:r>
        <w:rPr>
          <w:rFonts w:cs="Arial"/>
        </w:rPr>
        <w:t>accessing</w:t>
      </w:r>
      <w:r w:rsidRPr="006B49CA">
        <w:rPr>
          <w:rFonts w:cs="Arial"/>
        </w:rPr>
        <w:t xml:space="preserve">  private health care plans</w:t>
      </w:r>
      <w:r>
        <w:rPr>
          <w:rFonts w:cs="Arial"/>
        </w:rPr>
        <w:t xml:space="preserve">, </w:t>
      </w:r>
      <w:r w:rsidRPr="006B49CA">
        <w:rPr>
          <w:rFonts w:cs="Arial"/>
        </w:rPr>
        <w:t>to avoid waiting times for certain essential services in the public health care system.</w:t>
      </w:r>
      <w:r w:rsidRPr="004B71A6">
        <w:rPr>
          <w:rFonts w:cs="Arial"/>
        </w:rPr>
        <w:footnoteReference w:id="6"/>
      </w:r>
      <w:r w:rsidRPr="006B49CA">
        <w:rPr>
          <w:rFonts w:cs="Arial"/>
        </w:rPr>
        <w:t xml:space="preserve"> In upholding the</w:t>
      </w:r>
      <w:r>
        <w:rPr>
          <w:rFonts w:cs="Arial"/>
        </w:rPr>
        <w:t xml:space="preserve">ir </w:t>
      </w:r>
      <w:r w:rsidRPr="006B49CA">
        <w:rPr>
          <w:rFonts w:cs="Arial"/>
        </w:rPr>
        <w:t xml:space="preserve">claim, the Chief Justice explained, that ‘the [Canadian] </w:t>
      </w:r>
      <w:r w:rsidRPr="004B71A6">
        <w:rPr>
          <w:rFonts w:cs="Arial"/>
        </w:rPr>
        <w:t>Charter</w:t>
      </w:r>
      <w:r w:rsidRPr="006B49CA">
        <w:rPr>
          <w:rFonts w:cs="Arial"/>
        </w:rPr>
        <w:t> does not confer a freestanding constitutional right to health care. However, where the government puts in place a scheme to provide health care, that scheme must comply with the </w:t>
      </w:r>
      <w:r w:rsidRPr="004B71A6">
        <w:rPr>
          <w:rFonts w:cs="Arial"/>
        </w:rPr>
        <w:t>Charter</w:t>
      </w:r>
      <w:r w:rsidRPr="006B49CA">
        <w:rPr>
          <w:rFonts w:cs="Arial"/>
        </w:rPr>
        <w:t>.’</w:t>
      </w:r>
      <w:r w:rsidRPr="004B71A6">
        <w:rPr>
          <w:rFonts w:cs="Arial"/>
        </w:rPr>
        <w:footnoteReference w:id="7"/>
      </w:r>
      <w:r w:rsidRPr="006B49CA">
        <w:rPr>
          <w:rFonts w:cs="Arial"/>
        </w:rPr>
        <w:t xml:space="preserve"> </w:t>
      </w:r>
    </w:p>
    <w:p w14:paraId="11A77DCE" w14:textId="717E04C1" w:rsidR="00F51710" w:rsidRDefault="00F51710" w:rsidP="009B7592">
      <w:pPr>
        <w:numPr>
          <w:ilvl w:val="0"/>
          <w:numId w:val="2"/>
        </w:numPr>
        <w:rPr>
          <w:rFonts w:cs="Arial"/>
        </w:rPr>
      </w:pPr>
      <w:r w:rsidRPr="006B49CA">
        <w:rPr>
          <w:rFonts w:cs="Arial"/>
        </w:rPr>
        <w:t xml:space="preserve">The Chief Justice’s statement </w:t>
      </w:r>
      <w:r w:rsidR="000D53E0">
        <w:rPr>
          <w:rFonts w:cs="Arial"/>
        </w:rPr>
        <w:t xml:space="preserve">has been </w:t>
      </w:r>
      <w:r w:rsidR="005A432A">
        <w:rPr>
          <w:rFonts w:cs="Arial"/>
        </w:rPr>
        <w:t xml:space="preserve">relied upon (incorrectly) by </w:t>
      </w:r>
      <w:r w:rsidR="000D53E0">
        <w:rPr>
          <w:rFonts w:cs="Arial"/>
        </w:rPr>
        <w:t>lower courts</w:t>
      </w:r>
      <w:r w:rsidR="005A432A">
        <w:rPr>
          <w:rFonts w:cs="Arial"/>
        </w:rPr>
        <w:t xml:space="preserve"> to suggest that there is no obligation to </w:t>
      </w:r>
      <w:r w:rsidR="00760C74">
        <w:rPr>
          <w:rFonts w:cs="Arial"/>
        </w:rPr>
        <w:t>ensure access to publicly funded</w:t>
      </w:r>
      <w:r w:rsidR="005A432A">
        <w:rPr>
          <w:rFonts w:cs="Arial"/>
        </w:rPr>
        <w:t xml:space="preserve"> health care</w:t>
      </w:r>
      <w:r w:rsidR="00760C74">
        <w:rPr>
          <w:rFonts w:cs="Arial"/>
        </w:rPr>
        <w:t xml:space="preserve">, </w:t>
      </w:r>
      <w:proofErr w:type="spellStart"/>
      <w:r w:rsidR="00760C74">
        <w:rPr>
          <w:rFonts w:cs="Arial"/>
        </w:rPr>
        <w:t>een</w:t>
      </w:r>
      <w:proofErr w:type="spellEnd"/>
      <w:r w:rsidR="005A432A">
        <w:rPr>
          <w:rFonts w:cs="Arial"/>
        </w:rPr>
        <w:t xml:space="preserve"> where necessary to protect the right to life. In the</w:t>
      </w:r>
      <w:r>
        <w:rPr>
          <w:rFonts w:cs="Arial"/>
        </w:rPr>
        <w:t xml:space="preserve"> case of</w:t>
      </w:r>
      <w:r w:rsidRPr="004B71A6">
        <w:rPr>
          <w:rFonts w:cs="Arial"/>
        </w:rPr>
        <w:t xml:space="preserve"> </w:t>
      </w:r>
      <w:hyperlink r:id="rId12" w:history="1">
        <w:r w:rsidRPr="005A432A">
          <w:rPr>
            <w:i/>
            <w:iCs/>
          </w:rPr>
          <w:t>Toussaint v. Canada</w:t>
        </w:r>
      </w:hyperlink>
      <w:r w:rsidR="00760C74">
        <w:rPr>
          <w:rStyle w:val="FootnoteReference"/>
          <w:i/>
          <w:iCs/>
        </w:rPr>
        <w:footnoteReference w:id="8"/>
      </w:r>
      <w:r>
        <w:rPr>
          <w:rFonts w:cs="Arial"/>
        </w:rPr>
        <w:t xml:space="preserve">  </w:t>
      </w:r>
      <w:r w:rsidR="00760C74">
        <w:rPr>
          <w:rFonts w:cs="Arial"/>
        </w:rPr>
        <w:t xml:space="preserve">the courts found that </w:t>
      </w:r>
      <w:r>
        <w:rPr>
          <w:rFonts w:cs="Arial"/>
        </w:rPr>
        <w:t>Ms. Toussaint’s life placed at</w:t>
      </w:r>
      <w:r w:rsidR="00760C74">
        <w:rPr>
          <w:rFonts w:cs="Arial"/>
        </w:rPr>
        <w:t xml:space="preserve"> </w:t>
      </w:r>
      <w:proofErr w:type="spellStart"/>
      <w:r w:rsidR="00760C74">
        <w:rPr>
          <w:rFonts w:cs="Arial"/>
        </w:rPr>
        <w:t>sesrious</w:t>
      </w:r>
      <w:proofErr w:type="spellEnd"/>
      <w:r>
        <w:rPr>
          <w:rFonts w:cs="Arial"/>
        </w:rPr>
        <w:t xml:space="preserve"> risk, with long term adverse health consequences, after she was denied access to a federal health care programme because of her undocumented status.  The Court of Appeal </w:t>
      </w:r>
      <w:r w:rsidR="004B71A6">
        <w:rPr>
          <w:rFonts w:cs="Arial"/>
        </w:rPr>
        <w:t xml:space="preserve">cited the Chief Justice’s statement </w:t>
      </w:r>
      <w:r w:rsidR="00760C74">
        <w:rPr>
          <w:rFonts w:cs="Arial"/>
        </w:rPr>
        <w:t xml:space="preserve">in </w:t>
      </w:r>
      <w:proofErr w:type="spellStart"/>
      <w:r w:rsidR="00760C74" w:rsidRPr="00760C74">
        <w:rPr>
          <w:rFonts w:cs="Arial"/>
          <w:i/>
          <w:iCs/>
        </w:rPr>
        <w:t>Chaoulli</w:t>
      </w:r>
      <w:proofErr w:type="spellEnd"/>
      <w:r w:rsidR="00760C74">
        <w:rPr>
          <w:rFonts w:cs="Arial"/>
        </w:rPr>
        <w:t xml:space="preserve"> </w:t>
      </w:r>
      <w:r w:rsidR="004B71A6">
        <w:rPr>
          <w:rFonts w:cs="Arial"/>
        </w:rPr>
        <w:t xml:space="preserve">and </w:t>
      </w:r>
      <w:r w:rsidR="005A432A">
        <w:rPr>
          <w:rFonts w:cs="Arial"/>
        </w:rPr>
        <w:t xml:space="preserve">concluded </w:t>
      </w:r>
      <w:r>
        <w:rPr>
          <w:rFonts w:cs="Arial"/>
        </w:rPr>
        <w:t>that to require the State to provide Ms. Toussaint with health care</w:t>
      </w:r>
      <w:r w:rsidR="004B71A6">
        <w:rPr>
          <w:rFonts w:cs="Arial"/>
        </w:rPr>
        <w:t xml:space="preserve"> necessary</w:t>
      </w:r>
      <w:r>
        <w:rPr>
          <w:rFonts w:cs="Arial"/>
        </w:rPr>
        <w:t xml:space="preserve"> to protect her life would “</w:t>
      </w:r>
      <w:r w:rsidRPr="00B86BFF">
        <w:rPr>
          <w:rFonts w:cs="Arial"/>
        </w:rPr>
        <w:t>expand the law…so as to create a new human right to a minimum level of health care</w:t>
      </w:r>
      <w:r>
        <w:rPr>
          <w:rFonts w:cs="Arial"/>
        </w:rPr>
        <w:t>.”</w:t>
      </w:r>
      <w:r w:rsidR="00760C74">
        <w:rPr>
          <w:rStyle w:val="FootnoteReference"/>
          <w:rFonts w:cs="Arial"/>
        </w:rPr>
        <w:footnoteReference w:id="9"/>
      </w:r>
      <w:r>
        <w:rPr>
          <w:rFonts w:cs="Arial"/>
        </w:rPr>
        <w:t xml:space="preserve"> </w:t>
      </w:r>
    </w:p>
    <w:p w14:paraId="61920474" w14:textId="4B2AD756" w:rsidR="00F51710" w:rsidRDefault="00F51710" w:rsidP="009B7592">
      <w:pPr>
        <w:numPr>
          <w:ilvl w:val="0"/>
          <w:numId w:val="2"/>
        </w:numPr>
        <w:rPr>
          <w:rFonts w:cs="Arial"/>
        </w:rPr>
      </w:pPr>
      <w:r>
        <w:rPr>
          <w:rFonts w:cs="Arial"/>
        </w:rPr>
        <w:t xml:space="preserve">In a subsequent case, challenging </w:t>
      </w:r>
      <w:r w:rsidR="00760C74">
        <w:rPr>
          <w:rFonts w:cs="Arial"/>
        </w:rPr>
        <w:t>targeted</w:t>
      </w:r>
      <w:r>
        <w:rPr>
          <w:rFonts w:cs="Arial"/>
        </w:rPr>
        <w:t xml:space="preserve"> restrictions on access to health care </w:t>
      </w:r>
      <w:r w:rsidR="00760C74">
        <w:rPr>
          <w:rFonts w:cs="Arial"/>
        </w:rPr>
        <w:t xml:space="preserve">for </w:t>
      </w:r>
      <w:r>
        <w:rPr>
          <w:rFonts w:cs="Arial"/>
        </w:rPr>
        <w:t xml:space="preserve">refugees from designated countries, </w:t>
      </w:r>
      <w:r w:rsidR="005A432A">
        <w:rPr>
          <w:rFonts w:cs="Arial"/>
        </w:rPr>
        <w:t>(</w:t>
      </w:r>
      <w:r>
        <w:rPr>
          <w:rFonts w:cs="Arial"/>
        </w:rPr>
        <w:t xml:space="preserve">implemented after the Federal Court of Appeal’s decision in </w:t>
      </w:r>
      <w:r w:rsidRPr="005A432A">
        <w:rPr>
          <w:rFonts w:cs="Arial"/>
          <w:i/>
          <w:iCs/>
        </w:rPr>
        <w:t>Toussaint</w:t>
      </w:r>
      <w:r w:rsidR="005A432A">
        <w:rPr>
          <w:rFonts w:cs="Arial"/>
        </w:rPr>
        <w:t>)</w:t>
      </w:r>
      <w:r>
        <w:rPr>
          <w:rFonts w:cs="Arial"/>
        </w:rPr>
        <w:t xml:space="preserve">,  the Chief Justice’s statement was again </w:t>
      </w:r>
      <w:r w:rsidRPr="006B49CA">
        <w:rPr>
          <w:rFonts w:cs="Arial"/>
        </w:rPr>
        <w:t>relied upon to affirm that ‘the current state of the law in Canada is that section 7 of the Charter’s guarantees of life, liberty and security of the person do not include the positive right to state funding for health care’.</w:t>
      </w:r>
      <w:r w:rsidR="00760C74">
        <w:rPr>
          <w:rStyle w:val="FootnoteReference"/>
          <w:rFonts w:cs="Arial"/>
        </w:rPr>
        <w:footnoteReference w:id="10"/>
      </w:r>
      <w:r w:rsidRPr="006B49CA">
        <w:rPr>
          <w:rFonts w:cs="Arial"/>
        </w:rPr>
        <w:t xml:space="preserve">  </w:t>
      </w:r>
    </w:p>
    <w:p w14:paraId="6FB02FB4" w14:textId="0B947DD9" w:rsidR="004B71A6" w:rsidRPr="00760C74" w:rsidRDefault="00760C74" w:rsidP="00760C74">
      <w:pPr>
        <w:numPr>
          <w:ilvl w:val="0"/>
          <w:numId w:val="2"/>
        </w:numPr>
        <w:rPr>
          <w:rFonts w:cs="Arial"/>
        </w:rPr>
      </w:pPr>
      <w:r w:rsidRPr="00760C74">
        <w:rPr>
          <w:rFonts w:cs="Arial"/>
        </w:rPr>
        <w:t>The “current state of the law” within lower courts, is. surprisingly</w:t>
      </w:r>
      <w:r>
        <w:rPr>
          <w:rFonts w:cs="Arial"/>
        </w:rPr>
        <w:t xml:space="preserve"> such that the right to life protects access to health care for those who can afford private </w:t>
      </w:r>
      <w:proofErr w:type="gramStart"/>
      <w:r>
        <w:rPr>
          <w:rFonts w:cs="Arial"/>
        </w:rPr>
        <w:t>care, but</w:t>
      </w:r>
      <w:proofErr w:type="gramEnd"/>
      <w:r>
        <w:rPr>
          <w:rFonts w:cs="Arial"/>
        </w:rPr>
        <w:t xml:space="preserve"> does not protect the very same interest for those who cannot afford private care and rely on the public health care system. </w:t>
      </w:r>
      <w:r w:rsidR="005A432A" w:rsidRPr="00760C74">
        <w:rPr>
          <w:rFonts w:cs="Arial"/>
        </w:rPr>
        <w:t>F</w:t>
      </w:r>
      <w:r w:rsidR="004B71A6" w:rsidRPr="00760C74">
        <w:rPr>
          <w:rFonts w:cs="Arial"/>
        </w:rPr>
        <w:t>or the rich, the right to life includes access to essential health care but not for the poor.</w:t>
      </w:r>
    </w:p>
    <w:p w14:paraId="47B925E7" w14:textId="7A485406" w:rsidR="00F51710" w:rsidRDefault="00F51710" w:rsidP="004B71A6">
      <w:pPr>
        <w:ind w:right="-54"/>
        <w:rPr>
          <w:rFonts w:cs="Arial"/>
          <w:b/>
        </w:rPr>
      </w:pPr>
      <w:r>
        <w:rPr>
          <w:rFonts w:cs="Arial"/>
          <w:b/>
          <w:noProof/>
        </w:rPr>
        <mc:AlternateContent>
          <mc:Choice Requires="wps">
            <w:drawing>
              <wp:inline distT="0" distB="0" distL="0" distR="0" wp14:anchorId="0D52EB10" wp14:editId="073C37B1">
                <wp:extent cx="6035040" cy="1531620"/>
                <wp:effectExtent l="0" t="0" r="60960" b="49530"/>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53162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657C461B" w14:textId="77777777" w:rsidR="00760C74" w:rsidRPr="00065EC1" w:rsidRDefault="00760C74" w:rsidP="00F51710">
                            <w:pPr>
                              <w:ind w:right="432"/>
                              <w:rPr>
                                <w:rFonts w:cs="Arial"/>
                                <w:b/>
                              </w:rPr>
                            </w:pPr>
                            <w:r>
                              <w:rPr>
                                <w:b/>
                                <w:bCs/>
                                <w:u w:val="single"/>
                              </w:rPr>
                              <w:t>The right to life and access to health care</w:t>
                            </w:r>
                          </w:p>
                          <w:p w14:paraId="6B9A5D29" w14:textId="3E067618" w:rsidR="00760C74" w:rsidRDefault="00760C74" w:rsidP="00F51710">
                            <w:pPr>
                              <w:ind w:left="72" w:right="432"/>
                              <w:rPr>
                                <w:rFonts w:cs="Arial"/>
                                <w:b/>
                              </w:rPr>
                            </w:pPr>
                            <w:r>
                              <w:rPr>
                                <w:rFonts w:cs="Arial"/>
                                <w:b/>
                              </w:rPr>
                              <w:t xml:space="preserve">4. </w:t>
                            </w:r>
                            <w:r w:rsidRPr="00715BF4">
                              <w:rPr>
                                <w:rFonts w:cs="Arial"/>
                                <w:b/>
                              </w:rPr>
                              <w:t xml:space="preserve">We recommend that the Committee request </w:t>
                            </w:r>
                            <w:r>
                              <w:rPr>
                                <w:rFonts w:cs="Arial"/>
                                <w:b/>
                              </w:rPr>
                              <w:t>clarification from the government of Canada and from provincial governments of their position on whether the right to life should be interpreted to ensure access to health care where necessary for the protection of life, regardless of income, and whether there should be a difference between the protections of the right to life for those who can afford access to private health care and those who rely on public health care.</w:t>
                            </w:r>
                          </w:p>
                          <w:p w14:paraId="1BF4E88E" w14:textId="77777777" w:rsidR="00760C74" w:rsidRPr="00715BF4" w:rsidRDefault="00760C74" w:rsidP="009B7592">
                            <w:pPr>
                              <w:numPr>
                                <w:ilvl w:val="0"/>
                                <w:numId w:val="3"/>
                              </w:numPr>
                              <w:ind w:left="72" w:right="432"/>
                              <w:rPr>
                                <w:rFonts w:cs="Arial"/>
                                <w:b/>
                              </w:rPr>
                            </w:pPr>
                            <w:r>
                              <w:rPr>
                                <w:rFonts w:cs="Arial"/>
                                <w:b/>
                              </w:rPr>
                              <w:t xml:space="preserve"> </w:t>
                            </w:r>
                          </w:p>
                        </w:txbxContent>
                      </wps:txbx>
                      <wps:bodyPr rot="0" vert="horz" wrap="square" lIns="91440" tIns="45720" rIns="91440" bIns="45720" anchor="t" anchorCtr="0" upright="1">
                        <a:noAutofit/>
                      </wps:bodyPr>
                    </wps:wsp>
                  </a:graphicData>
                </a:graphic>
              </wp:inline>
            </w:drawing>
          </mc:Choice>
          <mc:Fallback>
            <w:pict>
              <v:shape w14:anchorId="0D52EB10" id="_x0000_s1029" type="#_x0000_t202" style="width:475.2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" fillcolor="#f2f2f2">
                <v:shadow on="t"/>
                <v:textbox>
                  <w:txbxContent>
                    <w:p w14:paraId="657C461B" w14:textId="77777777" w:rsidR="00760C74" w:rsidRPr="00065EC1" w:rsidRDefault="00760C74" w:rsidP="00F51710">
                      <w:pPr>
                        <w:ind w:right="432"/>
                        <w:rPr>
                          <w:rFonts w:cs="Arial"/>
                          <w:b/>
                        </w:rPr>
                      </w:pPr>
                      <w:r>
                        <w:rPr>
                          <w:b/>
                          <w:bCs/>
                          <w:u w:val="single"/>
                        </w:rPr>
                        <w:t>The right to life and access to health care</w:t>
                      </w:r>
                    </w:p>
                    <w:p w14:paraId="6B9A5D29" w14:textId="3E067618" w:rsidR="00760C74" w:rsidRDefault="00760C74" w:rsidP="00F51710">
                      <w:pPr>
                        <w:ind w:left="72" w:right="432"/>
                        <w:rPr>
                          <w:rFonts w:cs="Arial"/>
                          <w:b/>
                        </w:rPr>
                      </w:pPr>
                      <w:r>
                        <w:rPr>
                          <w:rFonts w:cs="Arial"/>
                          <w:b/>
                        </w:rPr>
                        <w:t xml:space="preserve">4. </w:t>
                      </w:r>
                      <w:r w:rsidRPr="00715BF4">
                        <w:rPr>
                          <w:rFonts w:cs="Arial"/>
                          <w:b/>
                        </w:rPr>
                        <w:t xml:space="preserve">We recommend that the Committee request </w:t>
                      </w:r>
                      <w:r>
                        <w:rPr>
                          <w:rFonts w:cs="Arial"/>
                          <w:b/>
                        </w:rPr>
                        <w:t>clarification from the government of Canada and from provincial governments of their position on whether the right to life should be interpreted to ensure access to health care where necessary for the protection of life, regardless of income, and whether there should be a difference between the protections of the right to life for those who can afford access to private health care and those who rely on public health care.</w:t>
                      </w:r>
                    </w:p>
                    <w:p w14:paraId="1BF4E88E" w14:textId="77777777" w:rsidR="00760C74" w:rsidRPr="00715BF4" w:rsidRDefault="00760C74" w:rsidP="009B7592">
                      <w:pPr>
                        <w:numPr>
                          <w:ilvl w:val="0"/>
                          <w:numId w:val="3"/>
                        </w:numPr>
                        <w:ind w:left="72" w:right="432"/>
                        <w:rPr>
                          <w:rFonts w:cs="Arial"/>
                          <w:b/>
                        </w:rPr>
                      </w:pPr>
                      <w:r>
                        <w:rPr>
                          <w:rFonts w:cs="Arial"/>
                          <w:b/>
                        </w:rPr>
                        <w:t xml:space="preserve"> </w:t>
                      </w:r>
                    </w:p>
                  </w:txbxContent>
                </v:textbox>
                <w10:anchorlock/>
              </v:shape>
            </w:pict>
          </mc:Fallback>
        </mc:AlternateContent>
      </w:r>
    </w:p>
    <w:p w14:paraId="43CC765F" w14:textId="77777777" w:rsidR="00B604D1" w:rsidRPr="004B71A6" w:rsidRDefault="00B604D1" w:rsidP="004B71A6">
      <w:pPr>
        <w:ind w:right="-54"/>
        <w:rPr>
          <w:rFonts w:cs="Arial"/>
          <w:b/>
        </w:rPr>
      </w:pPr>
    </w:p>
    <w:p w14:paraId="21FAD513" w14:textId="30DA171E" w:rsidR="00F51710" w:rsidRPr="008A0F79" w:rsidRDefault="00F51710" w:rsidP="00B604D1">
      <w:pPr>
        <w:pStyle w:val="Heading2"/>
        <w:numPr>
          <w:ilvl w:val="0"/>
          <w:numId w:val="24"/>
        </w:numPr>
        <w:rPr>
          <w:color w:val="0070C0"/>
          <w:sz w:val="24"/>
          <w:szCs w:val="24"/>
        </w:rPr>
      </w:pPr>
      <w:bookmarkStart w:id="26" w:name="_Toc32279502"/>
      <w:bookmarkStart w:id="27" w:name="_Toc115198222"/>
      <w:r w:rsidRPr="008A0F79">
        <w:rPr>
          <w:color w:val="0070C0"/>
          <w:sz w:val="24"/>
          <w:szCs w:val="24"/>
        </w:rPr>
        <w:t xml:space="preserve">Reconsidering Canada’s Response to the </w:t>
      </w:r>
      <w:r w:rsidR="00032A30" w:rsidRPr="008A0F79">
        <w:rPr>
          <w:color w:val="0070C0"/>
          <w:sz w:val="24"/>
          <w:szCs w:val="24"/>
        </w:rPr>
        <w:t>Decision</w:t>
      </w:r>
      <w:r w:rsidRPr="008A0F79">
        <w:rPr>
          <w:color w:val="0070C0"/>
          <w:sz w:val="24"/>
          <w:szCs w:val="24"/>
        </w:rPr>
        <w:t xml:space="preserve"> of the Human Rights Committee in </w:t>
      </w:r>
      <w:hyperlink r:id="rId13" w:history="1">
        <w:r w:rsidRPr="008A0F79">
          <w:rPr>
            <w:color w:val="0070C0"/>
            <w:sz w:val="24"/>
            <w:szCs w:val="24"/>
          </w:rPr>
          <w:t>Nell Toussaint v Canada</w:t>
        </w:r>
        <w:bookmarkEnd w:id="26"/>
        <w:bookmarkEnd w:id="27"/>
      </w:hyperlink>
    </w:p>
    <w:p w14:paraId="074DC0C0" w14:textId="77777777" w:rsidR="008432CD" w:rsidRDefault="008432CD" w:rsidP="00F51710">
      <w:pPr>
        <w:rPr>
          <w:rFonts w:cs="Arial"/>
        </w:rPr>
      </w:pPr>
    </w:p>
    <w:p w14:paraId="2ECCFCBD" w14:textId="3D6CB38C" w:rsidR="00F51710" w:rsidRDefault="00F51710" w:rsidP="009B7592">
      <w:pPr>
        <w:numPr>
          <w:ilvl w:val="0"/>
          <w:numId w:val="2"/>
        </w:numPr>
        <w:rPr>
          <w:rFonts w:cs="Arial"/>
        </w:rPr>
      </w:pPr>
      <w:r>
        <w:rPr>
          <w:rFonts w:cs="Arial"/>
        </w:rPr>
        <w:t xml:space="preserve">After </w:t>
      </w:r>
      <w:r w:rsidR="00032A30">
        <w:rPr>
          <w:rFonts w:cs="Arial"/>
        </w:rPr>
        <w:t xml:space="preserve">being denied leave to appeal to the Supreme Court of </w:t>
      </w:r>
      <w:proofErr w:type="gramStart"/>
      <w:r w:rsidR="00032A30">
        <w:rPr>
          <w:rFonts w:cs="Arial"/>
        </w:rPr>
        <w:t xml:space="preserve">Canada, </w:t>
      </w:r>
      <w:r>
        <w:rPr>
          <w:rFonts w:cs="Arial"/>
        </w:rPr>
        <w:t xml:space="preserve"> </w:t>
      </w:r>
      <w:r w:rsidR="00ED26B0">
        <w:rPr>
          <w:rFonts w:cs="Arial"/>
        </w:rPr>
        <w:t>Nell</w:t>
      </w:r>
      <w:proofErr w:type="gramEnd"/>
      <w:r>
        <w:rPr>
          <w:rFonts w:cs="Arial"/>
        </w:rPr>
        <w:t xml:space="preserve"> Toussaint </w:t>
      </w:r>
      <w:r w:rsidRPr="00B02199">
        <w:rPr>
          <w:rFonts w:cs="Arial"/>
        </w:rPr>
        <w:t>filed a petition</w:t>
      </w:r>
      <w:r w:rsidR="008432CD">
        <w:rPr>
          <w:rFonts w:cs="Arial"/>
        </w:rPr>
        <w:t xml:space="preserve"> </w:t>
      </w:r>
      <w:r w:rsidRPr="00B02199">
        <w:rPr>
          <w:rFonts w:cs="Arial"/>
        </w:rPr>
        <w:t>before the Human Rights Committee</w:t>
      </w:r>
      <w:r>
        <w:rPr>
          <w:rFonts w:cs="Arial"/>
        </w:rPr>
        <w:t>.  She</w:t>
      </w:r>
      <w:r w:rsidRPr="00B02199">
        <w:rPr>
          <w:rFonts w:cs="Arial"/>
        </w:rPr>
        <w:t xml:space="preserve"> alleg</w:t>
      </w:r>
      <w:r>
        <w:rPr>
          <w:rFonts w:cs="Arial"/>
        </w:rPr>
        <w:t>ed that the denial of essential health care</w:t>
      </w:r>
      <w:r w:rsidR="00032A30">
        <w:rPr>
          <w:rFonts w:cs="Arial"/>
        </w:rPr>
        <w:t xml:space="preserve"> because of her </w:t>
      </w:r>
      <w:r w:rsidR="00DA1362">
        <w:rPr>
          <w:rFonts w:cs="Arial"/>
        </w:rPr>
        <w:t>immigration’s</w:t>
      </w:r>
      <w:r w:rsidR="00032A30">
        <w:rPr>
          <w:rFonts w:cs="Arial"/>
        </w:rPr>
        <w:t xml:space="preserve"> status</w:t>
      </w:r>
      <w:r>
        <w:rPr>
          <w:rFonts w:cs="Arial"/>
        </w:rPr>
        <w:t xml:space="preserve">, placing her life at serious risk, </w:t>
      </w:r>
      <w:r w:rsidRPr="00B02199">
        <w:rPr>
          <w:rFonts w:cs="Arial"/>
        </w:rPr>
        <w:t>viola</w:t>
      </w:r>
      <w:r>
        <w:rPr>
          <w:rFonts w:cs="Arial"/>
        </w:rPr>
        <w:t>ted</w:t>
      </w:r>
      <w:r w:rsidRPr="00B02199">
        <w:rPr>
          <w:rFonts w:cs="Arial"/>
        </w:rPr>
        <w:t xml:space="preserve"> articles 6 (right to life) and 26 (right to non-discrimination) of the ICCPR.  </w:t>
      </w:r>
    </w:p>
    <w:p w14:paraId="0908B967" w14:textId="27ED5AF9" w:rsidR="00F51710" w:rsidRDefault="00F51710" w:rsidP="009B7592">
      <w:pPr>
        <w:numPr>
          <w:ilvl w:val="0"/>
          <w:numId w:val="2"/>
        </w:numPr>
        <w:rPr>
          <w:rFonts w:cs="Arial"/>
        </w:rPr>
      </w:pPr>
      <w:r w:rsidRPr="00B02199">
        <w:rPr>
          <w:rFonts w:cs="Arial"/>
        </w:rPr>
        <w:t xml:space="preserve">Canada responded </w:t>
      </w:r>
      <w:r w:rsidR="00C832A7">
        <w:rPr>
          <w:rFonts w:cs="Arial"/>
        </w:rPr>
        <w:t xml:space="preserve">very much as it had responded to Ms. Toussaint’s Charter claim, pointing out </w:t>
      </w:r>
      <w:r>
        <w:rPr>
          <w:rFonts w:cs="Arial"/>
        </w:rPr>
        <w:t xml:space="preserve"> </w:t>
      </w:r>
      <w:r w:rsidRPr="00B02199">
        <w:rPr>
          <w:rFonts w:cs="Arial"/>
        </w:rPr>
        <w:t>that the right to health is not contained in the ICCPR, and</w:t>
      </w:r>
      <w:r w:rsidR="00C832A7">
        <w:rPr>
          <w:rFonts w:cs="Arial"/>
        </w:rPr>
        <w:t xml:space="preserve"> arguing</w:t>
      </w:r>
      <w:r w:rsidRPr="00B02199">
        <w:rPr>
          <w:rFonts w:cs="Arial"/>
        </w:rPr>
        <w:t xml:space="preserve"> that the right to life</w:t>
      </w:r>
      <w:r>
        <w:rPr>
          <w:rFonts w:cs="Arial"/>
        </w:rPr>
        <w:t xml:space="preserve"> </w:t>
      </w:r>
      <w:r w:rsidR="00C832A7">
        <w:rPr>
          <w:rFonts w:cs="Arial"/>
        </w:rPr>
        <w:t xml:space="preserve">under the ICCPR </w:t>
      </w:r>
      <w:r>
        <w:rPr>
          <w:rFonts w:cs="Arial"/>
        </w:rPr>
        <w:t>should not be confused with the right to health under the ICESCR</w:t>
      </w:r>
      <w:r w:rsidRPr="00B02199">
        <w:rPr>
          <w:rFonts w:cs="Arial"/>
        </w:rPr>
        <w:t>.</w:t>
      </w:r>
      <w:r w:rsidR="00ED26B0">
        <w:rPr>
          <w:rStyle w:val="FootnoteReference"/>
          <w:rFonts w:cs="Arial"/>
        </w:rPr>
        <w:footnoteReference w:id="11"/>
      </w:r>
      <w:r w:rsidRPr="00B02199">
        <w:rPr>
          <w:rFonts w:cs="Arial"/>
        </w:rPr>
        <w:t xml:space="preserve"> The Human Rights Committee answered this argument by stating that ‘the author has explained that she does not claim a violation of the right to health, but of her right to life, arguing that the state party failed to fulfil its positive obligation to protect her right to life which, in her particular circumstances, required provision of emergency and essential health care.’</w:t>
      </w:r>
      <w:r w:rsidR="00ED26B0">
        <w:rPr>
          <w:rStyle w:val="FootnoteReference"/>
          <w:rFonts w:cs="Arial"/>
        </w:rPr>
        <w:footnoteReference w:id="12"/>
      </w:r>
    </w:p>
    <w:p w14:paraId="2C7979BF" w14:textId="225991BD" w:rsidR="008432CD" w:rsidRDefault="00C832A7" w:rsidP="009B7592">
      <w:pPr>
        <w:numPr>
          <w:ilvl w:val="0"/>
          <w:numId w:val="2"/>
        </w:numPr>
        <w:rPr>
          <w:rFonts w:cs="Arial"/>
        </w:rPr>
      </w:pPr>
      <w:r>
        <w:rPr>
          <w:rFonts w:cs="Arial"/>
        </w:rPr>
        <w:t xml:space="preserve">In </w:t>
      </w:r>
      <w:r w:rsidR="00F51710" w:rsidRPr="00B02199">
        <w:rPr>
          <w:rFonts w:cs="Arial"/>
        </w:rPr>
        <w:t>its decision</w:t>
      </w:r>
      <w:r w:rsidR="00032A30">
        <w:rPr>
          <w:rFonts w:cs="Arial"/>
        </w:rPr>
        <w:t xml:space="preserve"> on the merits,</w:t>
      </w:r>
      <w:r>
        <w:t xml:space="preserve"> the Human Rights Committee</w:t>
      </w:r>
      <w:r w:rsidR="00F51710">
        <w:rPr>
          <w:rFonts w:cs="Arial"/>
        </w:rPr>
        <w:t xml:space="preserve"> </w:t>
      </w:r>
      <w:r w:rsidR="00F51710" w:rsidRPr="00B02199">
        <w:rPr>
          <w:rFonts w:cs="Arial"/>
        </w:rPr>
        <w:t>found that Canada had violated</w:t>
      </w:r>
      <w:r w:rsidR="00F51710">
        <w:rPr>
          <w:rFonts w:cs="Arial"/>
        </w:rPr>
        <w:t xml:space="preserve"> </w:t>
      </w:r>
      <w:r w:rsidR="00F51710" w:rsidRPr="00B02199">
        <w:rPr>
          <w:rFonts w:cs="Arial"/>
        </w:rPr>
        <w:t>the right to life</w:t>
      </w:r>
      <w:r w:rsidR="00F51710">
        <w:rPr>
          <w:rFonts w:cs="Arial"/>
        </w:rPr>
        <w:t xml:space="preserve"> and the right to non-discrimination </w:t>
      </w:r>
      <w:r w:rsidR="00F51710" w:rsidRPr="00B02199">
        <w:rPr>
          <w:rFonts w:cs="Arial"/>
        </w:rPr>
        <w:t xml:space="preserve"> by denying access to essential health care to</w:t>
      </w:r>
      <w:r>
        <w:rPr>
          <w:rFonts w:cs="Arial"/>
        </w:rPr>
        <w:t xml:space="preserve"> Ms. Toussaint on the basis of her</w:t>
      </w:r>
      <w:r w:rsidR="00F51710" w:rsidRPr="00B02199">
        <w:rPr>
          <w:rFonts w:cs="Arial"/>
        </w:rPr>
        <w:t xml:space="preserve"> irregular</w:t>
      </w:r>
      <w:r>
        <w:rPr>
          <w:rFonts w:cs="Arial"/>
        </w:rPr>
        <w:t xml:space="preserve"> immigrations status</w:t>
      </w:r>
      <w:r w:rsidR="00F51710" w:rsidRPr="00B02199">
        <w:rPr>
          <w:rFonts w:cs="Arial"/>
        </w:rPr>
        <w:t>.</w:t>
      </w:r>
      <w:r w:rsidR="00ED26B0">
        <w:rPr>
          <w:rStyle w:val="FootnoteReference"/>
          <w:rFonts w:cs="Arial"/>
        </w:rPr>
        <w:footnoteReference w:id="13"/>
      </w:r>
      <w:r w:rsidR="00F51710" w:rsidRPr="00B02199">
        <w:rPr>
          <w:rFonts w:cs="Arial"/>
        </w:rPr>
        <w:t xml:space="preserve">  The Committee stated that Canada must</w:t>
      </w:r>
      <w:r w:rsidR="00F51710">
        <w:rPr>
          <w:rFonts w:cs="Arial"/>
        </w:rPr>
        <w:t xml:space="preserve"> </w:t>
      </w:r>
      <w:r>
        <w:rPr>
          <w:rFonts w:cs="Arial"/>
        </w:rPr>
        <w:t xml:space="preserve">act to prevent </w:t>
      </w:r>
      <w:r w:rsidR="00F51710">
        <w:rPr>
          <w:rFonts w:cs="Arial"/>
        </w:rPr>
        <w:t>ongoing violations of the rights of undocumented migrants by</w:t>
      </w:r>
      <w:r w:rsidR="00F51710" w:rsidRPr="00B02199">
        <w:rPr>
          <w:rFonts w:cs="Arial"/>
        </w:rPr>
        <w:t xml:space="preserve"> “reviewing its national legislation to ensure that irregular migrants have access to essential health care to prevent a reasonably foreseeable risk that can result in loss of life.”</w:t>
      </w:r>
      <w:r w:rsidR="00ED26B0">
        <w:rPr>
          <w:rStyle w:val="FootnoteReference"/>
          <w:rFonts w:cs="Arial"/>
        </w:rPr>
        <w:footnoteReference w:id="14"/>
      </w:r>
    </w:p>
    <w:p w14:paraId="0C909889" w14:textId="19371B1D" w:rsidR="00F51710" w:rsidRPr="008432CD" w:rsidRDefault="00F51710" w:rsidP="009B7592">
      <w:pPr>
        <w:numPr>
          <w:ilvl w:val="0"/>
          <w:numId w:val="2"/>
        </w:numPr>
        <w:rPr>
          <w:rFonts w:cs="Arial"/>
        </w:rPr>
      </w:pPr>
      <w:r>
        <w:t xml:space="preserve">In response to the Human Rights Committee’s decision, Canada submitted a </w:t>
      </w:r>
      <w:hyperlink r:id="rId14" w:history="1">
        <w:r>
          <w:rPr>
            <w:rStyle w:val="Hyperlink"/>
          </w:rPr>
          <w:t>Letter to the UN Human Rights Committee</w:t>
        </w:r>
      </w:hyperlink>
      <w:r>
        <w:t xml:space="preserve"> informing the Committee that </w:t>
      </w:r>
      <w:r w:rsidR="00ED26B0">
        <w:t>Canada</w:t>
      </w:r>
      <w:r>
        <w:t xml:space="preserve"> would no</w:t>
      </w:r>
      <w:r w:rsidR="00C832A7">
        <w:t xml:space="preserve">t </w:t>
      </w:r>
      <w:r>
        <w:t>implement the</w:t>
      </w:r>
      <w:r w:rsidR="00C832A7">
        <w:t xml:space="preserve"> Human Rights Committee’s decision because it doe</w:t>
      </w:r>
      <w:r w:rsidR="00032A30">
        <w:t>s</w:t>
      </w:r>
      <w:r w:rsidR="00C832A7">
        <w:t xml:space="preserve"> not agree with it</w:t>
      </w:r>
      <w:r w:rsidR="008432CD">
        <w:t xml:space="preserve">.  </w:t>
      </w:r>
      <w:r>
        <w:t>Canada argued that “</w:t>
      </w:r>
      <w:r w:rsidRPr="005336DF">
        <w:t>the Committee’s views conflate the right to life with an economic and social right. Moreover, the Committee’s views fail to distinguish between providing access to health care and providing state-funded health care coverage</w:t>
      </w:r>
      <w:r>
        <w:t xml:space="preserve">.” </w:t>
      </w:r>
    </w:p>
    <w:p w14:paraId="211454CF" w14:textId="6642C08C" w:rsidR="004E6501" w:rsidRDefault="00F51710" w:rsidP="003B6239">
      <w:pPr>
        <w:ind w:right="-54"/>
        <w:rPr>
          <w:rFonts w:cs="Arial"/>
          <w:b/>
        </w:rPr>
      </w:pPr>
      <w:r>
        <w:rPr>
          <w:rFonts w:cs="Arial"/>
          <w:b/>
          <w:noProof/>
        </w:rPr>
        <mc:AlternateContent>
          <mc:Choice Requires="wps">
            <w:drawing>
              <wp:inline distT="0" distB="0" distL="0" distR="0" wp14:anchorId="2F006AC6" wp14:editId="367FA9D2">
                <wp:extent cx="6035040" cy="1668780"/>
                <wp:effectExtent l="0" t="0" r="60960" b="64770"/>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66878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1D8A5067" w14:textId="77777777" w:rsidR="00760C74" w:rsidRPr="00065EC1" w:rsidRDefault="00760C74" w:rsidP="00F51710">
                            <w:pPr>
                              <w:ind w:right="432"/>
                              <w:rPr>
                                <w:rFonts w:cs="Arial"/>
                                <w:b/>
                              </w:rPr>
                            </w:pPr>
                            <w:r>
                              <w:rPr>
                                <w:b/>
                                <w:bCs/>
                                <w:u w:val="single"/>
                              </w:rPr>
                              <w:t>Implementing the Remedy in Toussaint v Canada.</w:t>
                            </w:r>
                          </w:p>
                          <w:p w14:paraId="5E3B3776" w14:textId="36392E4B" w:rsidR="00760C74" w:rsidRPr="00715BF4" w:rsidRDefault="00760C74" w:rsidP="00F51710">
                            <w:pPr>
                              <w:ind w:left="72" w:right="432"/>
                              <w:rPr>
                                <w:rFonts w:cs="Arial"/>
                                <w:b/>
                              </w:rPr>
                            </w:pPr>
                            <w:r>
                              <w:rPr>
                                <w:rFonts w:cs="Arial"/>
                                <w:b/>
                              </w:rPr>
                              <w:t xml:space="preserve">5. </w:t>
                            </w:r>
                            <w:r w:rsidRPr="00715BF4">
                              <w:rPr>
                                <w:rFonts w:cs="Arial"/>
                                <w:b/>
                              </w:rPr>
                              <w:t>We recommend that the Committee request</w:t>
                            </w:r>
                            <w:r>
                              <w:rPr>
                                <w:rFonts w:cs="Arial"/>
                                <w:b/>
                              </w:rPr>
                              <w:t xml:space="preserve"> that Canada explain its refusal to implement the remedy requested by the UN Human Rights Committee in </w:t>
                            </w:r>
                            <w:r w:rsidRPr="00B63D28">
                              <w:rPr>
                                <w:rFonts w:cs="Arial"/>
                                <w:b/>
                                <w:i/>
                                <w:iCs/>
                              </w:rPr>
                              <w:t>Nell Toussaint v Canada</w:t>
                            </w:r>
                            <w:r w:rsidRPr="00B63D28">
                              <w:rPr>
                                <w:rFonts w:cs="Arial"/>
                                <w:b/>
                              </w:rPr>
                              <w:t xml:space="preserve"> Communication No. 2348/201</w:t>
                            </w:r>
                            <w:r>
                              <w:rPr>
                                <w:rFonts w:cs="Arial"/>
                                <w:b/>
                              </w:rPr>
                              <w:t>4 and ask if th</w:t>
                            </w:r>
                            <w:r w:rsidR="00ED26B0">
                              <w:rPr>
                                <w:rFonts w:cs="Arial"/>
                                <w:b/>
                              </w:rPr>
                              <w:t>at response</w:t>
                            </w:r>
                            <w:r>
                              <w:rPr>
                                <w:rFonts w:cs="Arial"/>
                                <w:b/>
                              </w:rPr>
                              <w:t xml:space="preserve"> might be reconsidered, since lives may be at stake and Canada’s views are clearly at odds with international human rights norms.   The Committee should additionally inquire if courts have been informed about the Human Rights Committee’s decision</w:t>
                            </w:r>
                            <w:r w:rsidR="00ED26B0">
                              <w:rPr>
                                <w:rFonts w:cs="Arial"/>
                                <w:b/>
                              </w:rPr>
                              <w:t xml:space="preserve"> in the Toussaint case.</w:t>
                            </w:r>
                          </w:p>
                        </w:txbxContent>
                      </wps:txbx>
                      <wps:bodyPr rot="0" vert="horz" wrap="square" lIns="91440" tIns="45720" rIns="91440" bIns="45720" anchor="t" anchorCtr="0" upright="1">
                        <a:noAutofit/>
                      </wps:bodyPr>
                    </wps:wsp>
                  </a:graphicData>
                </a:graphic>
              </wp:inline>
            </w:drawing>
          </mc:Choice>
          <mc:Fallback>
            <w:pict>
              <v:shape w14:anchorId="2F006AC6" id="_x0000_s1030" type="#_x0000_t202" style="width:475.2pt;height:1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" fillcolor="#f2f2f2">
                <v:shadow on="t"/>
                <v:textbox>
                  <w:txbxContent>
                    <w:p w14:paraId="1D8A5067" w14:textId="77777777" w:rsidR="00760C74" w:rsidRPr="00065EC1" w:rsidRDefault="00760C74" w:rsidP="00F51710">
                      <w:pPr>
                        <w:ind w:right="432"/>
                        <w:rPr>
                          <w:rFonts w:cs="Arial"/>
                          <w:b/>
                        </w:rPr>
                      </w:pPr>
                      <w:r>
                        <w:rPr>
                          <w:b/>
                          <w:bCs/>
                          <w:u w:val="single"/>
                        </w:rPr>
                        <w:t>Implementing the Remedy in Toussaint v Canada.</w:t>
                      </w:r>
                    </w:p>
                    <w:p w14:paraId="5E3B3776" w14:textId="36392E4B" w:rsidR="00760C74" w:rsidRPr="00715BF4" w:rsidRDefault="00760C74" w:rsidP="00F51710">
                      <w:pPr>
                        <w:ind w:left="72" w:right="432"/>
                        <w:rPr>
                          <w:rFonts w:cs="Arial"/>
                          <w:b/>
                        </w:rPr>
                      </w:pPr>
                      <w:r>
                        <w:rPr>
                          <w:rFonts w:cs="Arial"/>
                          <w:b/>
                        </w:rPr>
                        <w:t xml:space="preserve">5. </w:t>
                      </w:r>
                      <w:r w:rsidRPr="00715BF4">
                        <w:rPr>
                          <w:rFonts w:cs="Arial"/>
                          <w:b/>
                        </w:rPr>
                        <w:t>We recommend that the Committee request</w:t>
                      </w:r>
                      <w:r>
                        <w:rPr>
                          <w:rFonts w:cs="Arial"/>
                          <w:b/>
                        </w:rPr>
                        <w:t xml:space="preserve"> that Canada explain its refusal to implement the remedy requested by the UN Human Rights Committee in </w:t>
                      </w:r>
                      <w:r w:rsidRPr="00B63D28">
                        <w:rPr>
                          <w:rFonts w:cs="Arial"/>
                          <w:b/>
                          <w:i/>
                          <w:iCs/>
                        </w:rPr>
                        <w:t>Nell Toussaint v Canada</w:t>
                      </w:r>
                      <w:r w:rsidRPr="00B63D28">
                        <w:rPr>
                          <w:rFonts w:cs="Arial"/>
                          <w:b/>
                        </w:rPr>
                        <w:t xml:space="preserve"> Communication No. 2348/201</w:t>
                      </w:r>
                      <w:r>
                        <w:rPr>
                          <w:rFonts w:cs="Arial"/>
                          <w:b/>
                        </w:rPr>
                        <w:t>4 and ask if th</w:t>
                      </w:r>
                      <w:r w:rsidR="00ED26B0">
                        <w:rPr>
                          <w:rFonts w:cs="Arial"/>
                          <w:b/>
                        </w:rPr>
                        <w:t>at response</w:t>
                      </w:r>
                      <w:r>
                        <w:rPr>
                          <w:rFonts w:cs="Arial"/>
                          <w:b/>
                        </w:rPr>
                        <w:t xml:space="preserve"> might be reconsidered, since lives may be at stake and Canada’s views are clearly at odds with international human rights norms.   The Committee should additionally inquire if courts have been informed about the Human Rights Committee’s decision</w:t>
                      </w:r>
                      <w:r w:rsidR="00ED26B0">
                        <w:rPr>
                          <w:rFonts w:cs="Arial"/>
                          <w:b/>
                        </w:rPr>
                        <w:t xml:space="preserve"> in the Toussaint case.</w:t>
                      </w:r>
                    </w:p>
                  </w:txbxContent>
                </v:textbox>
                <w10:anchorlock/>
              </v:shape>
            </w:pict>
          </mc:Fallback>
        </mc:AlternateContent>
      </w:r>
    </w:p>
    <w:p w14:paraId="6169F8FC" w14:textId="77777777" w:rsidR="008A0F79" w:rsidRPr="00334353" w:rsidRDefault="008A0F79" w:rsidP="008A0F79"/>
    <w:p w14:paraId="3981B430" w14:textId="3033B7F0" w:rsidR="008A0F79" w:rsidRPr="008A0F79" w:rsidRDefault="008A0F79" w:rsidP="008A0F79">
      <w:pPr>
        <w:pStyle w:val="Heading2"/>
        <w:numPr>
          <w:ilvl w:val="0"/>
          <w:numId w:val="18"/>
        </w:numPr>
        <w:rPr>
          <w:color w:val="4472C4" w:themeColor="accent1"/>
        </w:rPr>
      </w:pPr>
      <w:bookmarkStart w:id="29" w:name="_Toc32279503"/>
      <w:bookmarkStart w:id="30" w:name="_Toc115198223"/>
      <w:r w:rsidRPr="008A0F79">
        <w:rPr>
          <w:color w:val="4472C4" w:themeColor="accent1"/>
        </w:rPr>
        <w:t>FEDERAL AND PROVINCIAL/TERRITORIAL HUMAN RIGHTS LEGISLATION</w:t>
      </w:r>
      <w:bookmarkEnd w:id="29"/>
      <w:bookmarkEnd w:id="30"/>
    </w:p>
    <w:p w14:paraId="3FEA6AB5" w14:textId="67645E19" w:rsidR="008A0F79" w:rsidRDefault="008A0F79" w:rsidP="008A0F79">
      <w:pPr>
        <w:rPr>
          <w:rFonts w:cs="Arial"/>
          <w:b/>
          <w:color w:val="17365D"/>
          <w:u w:val="single"/>
        </w:rPr>
      </w:pPr>
    </w:p>
    <w:p w14:paraId="49A4D95D" w14:textId="4669F94C" w:rsidR="0075491E" w:rsidRDefault="0075491E" w:rsidP="0075491E">
      <w:pPr>
        <w:pStyle w:val="Heading2"/>
        <w:numPr>
          <w:ilvl w:val="0"/>
          <w:numId w:val="21"/>
        </w:numPr>
        <w:rPr>
          <w:color w:val="0070C0"/>
          <w:sz w:val="24"/>
          <w:szCs w:val="24"/>
        </w:rPr>
      </w:pPr>
      <w:bookmarkStart w:id="31" w:name="_Toc32279504"/>
      <w:bookmarkStart w:id="32" w:name="_Toc115198224"/>
      <w:r w:rsidRPr="0075491E">
        <w:rPr>
          <w:color w:val="0070C0"/>
          <w:sz w:val="24"/>
          <w:szCs w:val="24"/>
        </w:rPr>
        <w:t>ESC rights in human rights legislation</w:t>
      </w:r>
      <w:bookmarkEnd w:id="31"/>
      <w:bookmarkEnd w:id="32"/>
    </w:p>
    <w:p w14:paraId="6A8DA8B5" w14:textId="77777777" w:rsidR="00B604D1" w:rsidRPr="00B604D1" w:rsidRDefault="00B604D1" w:rsidP="00B604D1"/>
    <w:p w14:paraId="1F0C705B" w14:textId="77777777" w:rsidR="008A0F79" w:rsidRPr="0072310C" w:rsidRDefault="008A0F79" w:rsidP="008A0F79">
      <w:pPr>
        <w:numPr>
          <w:ilvl w:val="0"/>
          <w:numId w:val="2"/>
        </w:numPr>
        <w:rPr>
          <w:rFonts w:cs="Arial"/>
        </w:rPr>
      </w:pPr>
      <w:r>
        <w:rPr>
          <w:rFonts w:cs="Arial"/>
        </w:rPr>
        <w:t xml:space="preserve">Human rights legislation has always been a cornerstone of human rights protections in Canada.  The Canadian Charter of Rights and Freedoms does not generally apply to private actors, so horizontal protection of human rights relies to a large extent in Canada on human rights legislation. </w:t>
      </w:r>
    </w:p>
    <w:p w14:paraId="3B3F1B4A" w14:textId="77777777" w:rsidR="008A0F79" w:rsidRDefault="008A0F79" w:rsidP="008A0F79">
      <w:pPr>
        <w:numPr>
          <w:ilvl w:val="0"/>
          <w:numId w:val="2"/>
        </w:numPr>
        <w:rPr>
          <w:rFonts w:cs="Arial"/>
        </w:rPr>
      </w:pPr>
      <w:r w:rsidRPr="00C5478C">
        <w:rPr>
          <w:rFonts w:cs="Arial"/>
        </w:rPr>
        <w:t>Provinces and territories in Canada have key responsibilities for implementing</w:t>
      </w:r>
      <w:r>
        <w:rPr>
          <w:rFonts w:cs="Arial"/>
        </w:rPr>
        <w:t xml:space="preserve"> ESC rights, so provincial territorial legislation is a critical source of protection of these rights</w:t>
      </w:r>
      <w:r w:rsidRPr="00C5478C">
        <w:rPr>
          <w:rFonts w:cs="Arial"/>
        </w:rPr>
        <w:t xml:space="preserve">.  </w:t>
      </w:r>
      <w:r w:rsidRPr="00856707">
        <w:rPr>
          <w:rFonts w:cs="Arial"/>
        </w:rPr>
        <w:t>The only province to have included ESC rights in provincial human rights legislat</w:t>
      </w:r>
      <w:r>
        <w:rPr>
          <w:rFonts w:cs="Arial"/>
        </w:rPr>
        <w:t xml:space="preserve">ion is Quebec, and even there, </w:t>
      </w:r>
      <w:r w:rsidRPr="00856707">
        <w:rPr>
          <w:rFonts w:cs="Arial"/>
        </w:rPr>
        <w:t xml:space="preserve">the enforcement of </w:t>
      </w:r>
      <w:r>
        <w:rPr>
          <w:rFonts w:cs="Arial"/>
        </w:rPr>
        <w:t>ESC</w:t>
      </w:r>
      <w:r w:rsidRPr="00856707">
        <w:rPr>
          <w:rFonts w:cs="Arial"/>
        </w:rPr>
        <w:t xml:space="preserve"> rights ha</w:t>
      </w:r>
      <w:r>
        <w:rPr>
          <w:rFonts w:cs="Arial"/>
        </w:rPr>
        <w:t>s</w:t>
      </w:r>
      <w:r w:rsidRPr="00856707">
        <w:rPr>
          <w:rFonts w:cs="Arial"/>
        </w:rPr>
        <w:t xml:space="preserve"> not been put on an </w:t>
      </w:r>
      <w:r>
        <w:rPr>
          <w:rFonts w:cs="Arial"/>
        </w:rPr>
        <w:t xml:space="preserve">equal footing with other rights. </w:t>
      </w:r>
    </w:p>
    <w:p w14:paraId="7F06C39D" w14:textId="77777777" w:rsidR="008A0F79" w:rsidRPr="007D1F85" w:rsidRDefault="008A0F79" w:rsidP="008A0F79">
      <w:pPr>
        <w:numPr>
          <w:ilvl w:val="0"/>
          <w:numId w:val="2"/>
        </w:numPr>
        <w:rPr>
          <w:rFonts w:cs="Arial"/>
        </w:rPr>
      </w:pPr>
      <w:r>
        <w:rPr>
          <w:rFonts w:cs="Arial"/>
        </w:rPr>
        <w:t>Even u</w:t>
      </w:r>
      <w:r w:rsidRPr="007D1F85">
        <w:rPr>
          <w:rFonts w:cs="Arial"/>
        </w:rPr>
        <w:t xml:space="preserve">nder the current mandates of human rights commissions and tribunals </w:t>
      </w:r>
      <w:proofErr w:type="gramStart"/>
      <w:r w:rsidRPr="007D1F85">
        <w:rPr>
          <w:rFonts w:cs="Arial"/>
        </w:rPr>
        <w:t>in</w:t>
      </w:r>
      <w:r>
        <w:rPr>
          <w:rFonts w:cs="Arial"/>
        </w:rPr>
        <w:t xml:space="preserve">  Canada</w:t>
      </w:r>
      <w:proofErr w:type="gramEnd"/>
      <w:r>
        <w:rPr>
          <w:rFonts w:cs="Arial"/>
        </w:rPr>
        <w:t xml:space="preserve">, focused on non-discrimination and equality, </w:t>
      </w:r>
      <w:r w:rsidRPr="007D1F85">
        <w:rPr>
          <w:rFonts w:cs="Arial"/>
        </w:rPr>
        <w:t xml:space="preserve"> there is still significant scope for providing effective remedies for violations of ESC rights.  However, when such claims have been advanced</w:t>
      </w:r>
      <w:r>
        <w:rPr>
          <w:rFonts w:cs="Arial"/>
        </w:rPr>
        <w:t xml:space="preserve">, </w:t>
      </w:r>
      <w:r w:rsidRPr="007D1F85">
        <w:rPr>
          <w:rFonts w:cs="Arial"/>
        </w:rPr>
        <w:t xml:space="preserve">they have met with significant opposition from governments. A particularly concerning example is the response by the federal government to the historic decision of the Canadian Human Rights Tribunal upholding the complaint filed by the </w:t>
      </w:r>
      <w:r w:rsidRPr="007D1F85">
        <w:rPr>
          <w:rFonts w:cs="Arial"/>
          <w:i/>
          <w:iCs/>
        </w:rPr>
        <w:t>First Nations Child and Family Caring Society of Canada</w:t>
      </w:r>
      <w:r w:rsidRPr="00640375">
        <w:rPr>
          <w:rFonts w:cs="Arial"/>
          <w:i/>
          <w:iCs/>
          <w:vertAlign w:val="superscript"/>
        </w:rPr>
        <w:footnoteReference w:id="15"/>
      </w:r>
      <w:r w:rsidRPr="007D1F85">
        <w:rPr>
          <w:rFonts w:cs="Arial"/>
          <w:i/>
          <w:iCs/>
        </w:rPr>
        <w:t xml:space="preserve"> </w:t>
      </w:r>
      <w:r w:rsidRPr="007D1F85">
        <w:rPr>
          <w:rFonts w:ascii="Open Sans Light" w:hAnsi="Open Sans Light" w:cs="Open Sans Light"/>
          <w:color w:val="000000" w:themeColor="text1"/>
          <w:sz w:val="18"/>
        </w:rPr>
        <w:t>described in their submissions to the Committee, which we endorse.</w:t>
      </w:r>
      <w:r w:rsidRPr="007D1F85">
        <w:rPr>
          <w:rFonts w:cs="Arial"/>
        </w:rPr>
        <w:t xml:space="preserve">    </w:t>
      </w:r>
    </w:p>
    <w:p w14:paraId="418B6727" w14:textId="35CACF49" w:rsidR="008A0F79" w:rsidRDefault="008A0F79" w:rsidP="008A0F79">
      <w:pPr>
        <w:rPr>
          <w:rFonts w:cs="Arial"/>
        </w:rPr>
      </w:pPr>
      <w:r>
        <w:rPr>
          <w:rFonts w:cs="Arial"/>
          <w:b/>
          <w:noProof/>
        </w:rPr>
        <mc:AlternateContent>
          <mc:Choice Requires="wps">
            <w:drawing>
              <wp:inline distT="0" distB="0" distL="0" distR="0" wp14:anchorId="7E7E4ABF" wp14:editId="4E0677C6">
                <wp:extent cx="6035040" cy="2263140"/>
                <wp:effectExtent l="0" t="0" r="60960" b="60960"/>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26314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773E0968" w14:textId="64D383ED" w:rsidR="008A0F79" w:rsidRPr="009F74CD" w:rsidRDefault="008A0F79" w:rsidP="008A0F79">
                            <w:pPr>
                              <w:ind w:right="432" w:firstLine="720"/>
                              <w:rPr>
                                <w:rFonts w:cs="Arial"/>
                                <w:b/>
                                <w:u w:val="single"/>
                              </w:rPr>
                            </w:pPr>
                            <w:r>
                              <w:rPr>
                                <w:rFonts w:cs="Arial"/>
                                <w:b/>
                                <w:u w:val="single"/>
                              </w:rPr>
                              <w:t>Human Rights Legislation</w:t>
                            </w:r>
                            <w:r w:rsidR="00770AAB">
                              <w:rPr>
                                <w:rFonts w:cs="Arial"/>
                                <w:b/>
                                <w:u w:val="single"/>
                              </w:rPr>
                              <w:t xml:space="preserve"> and ESC rights</w:t>
                            </w:r>
                          </w:p>
                          <w:p w14:paraId="21FBD331" w14:textId="075277B2" w:rsidR="008A0F79" w:rsidRPr="00F77081" w:rsidRDefault="0075491E" w:rsidP="008A0F79">
                            <w:pPr>
                              <w:ind w:right="432"/>
                              <w:rPr>
                                <w:rFonts w:cs="Arial"/>
                                <w:b/>
                              </w:rPr>
                            </w:pPr>
                            <w:r>
                              <w:rPr>
                                <w:rFonts w:cs="Arial"/>
                                <w:b/>
                              </w:rPr>
                              <w:t>6</w:t>
                            </w:r>
                            <w:r w:rsidR="008A0F79">
                              <w:rPr>
                                <w:rFonts w:cs="Arial"/>
                                <w:b/>
                              </w:rPr>
                              <w:t xml:space="preserve">. </w:t>
                            </w:r>
                            <w:r w:rsidR="008A0F79" w:rsidRPr="001D4FF1">
                              <w:rPr>
                                <w:rFonts w:cs="Arial"/>
                                <w:b/>
                              </w:rPr>
                              <w:t>Canad</w:t>
                            </w:r>
                            <w:r w:rsidR="008A0F79">
                              <w:rPr>
                                <w:rFonts w:cs="Arial"/>
                                <w:b/>
                              </w:rPr>
                              <w:t xml:space="preserve">a should be asked to report on cases brought before human rights tribunals in which the Covenant has been applied to interpret provincial /territorial or federal human rights legislation in accordance with General Comment No. 9, para 15.  Canada should be requested to provide information on whether federal or provincial/territorial </w:t>
                            </w:r>
                            <w:r w:rsidR="008A0F79" w:rsidRPr="00F77081">
                              <w:rPr>
                                <w:rFonts w:cs="Arial"/>
                                <w:b/>
                              </w:rPr>
                              <w:t>governments</w:t>
                            </w:r>
                            <w:r w:rsidR="008A0F79">
                              <w:rPr>
                                <w:rFonts w:cs="Arial"/>
                                <w:b/>
                              </w:rPr>
                              <w:t xml:space="preserve"> have made changes or are contemplating making changes to human rights legislation to ensure access to justice and effective remedies to violation of ESC rights.  Canada should report on actions by human rights commissions or other agencies to deal with ESC violations resulting from activities of businesses or private actors in the area of housing, extractive industries, pharmaceutical industries, agriculture or other areas</w:t>
                            </w:r>
                            <w:r w:rsidR="008A0F79" w:rsidRPr="00F77081">
                              <w:rPr>
                                <w:rFonts w:cs="Arial"/>
                                <w:b/>
                              </w:rPr>
                              <w:t xml:space="preserve">  </w:t>
                            </w:r>
                          </w:p>
                          <w:p w14:paraId="54E1D4BE" w14:textId="77777777" w:rsidR="008A0F79" w:rsidRDefault="008A0F79" w:rsidP="008A0F79"/>
                        </w:txbxContent>
                      </wps:txbx>
                      <wps:bodyPr rot="0" vert="horz" wrap="square" lIns="91440" tIns="45720" rIns="91440" bIns="45720" anchor="t" anchorCtr="0" upright="1">
                        <a:noAutofit/>
                      </wps:bodyPr>
                    </wps:wsp>
                  </a:graphicData>
                </a:graphic>
              </wp:inline>
            </w:drawing>
          </mc:Choice>
          <mc:Fallback>
            <w:pict>
              <v:shape w14:anchorId="7E7E4ABF" id="Text Box 43" o:spid="_x0000_s1031" type="#_x0000_t202" style="width:475.2pt;height:17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" fillcolor="#f2f2f2">
                <v:shadow on="t"/>
                <v:textbox>
                  <w:txbxContent>
                    <w:p w14:paraId="773E0968" w14:textId="64D383ED" w:rsidR="008A0F79" w:rsidRPr="009F74CD" w:rsidRDefault="008A0F79" w:rsidP="008A0F79">
                      <w:pPr>
                        <w:ind w:right="432" w:firstLine="720"/>
                        <w:rPr>
                          <w:rFonts w:cs="Arial"/>
                          <w:b/>
                          <w:u w:val="single"/>
                        </w:rPr>
                      </w:pPr>
                      <w:r>
                        <w:rPr>
                          <w:rFonts w:cs="Arial"/>
                          <w:b/>
                          <w:u w:val="single"/>
                        </w:rPr>
                        <w:t>Human Rights Legislation</w:t>
                      </w:r>
                      <w:r w:rsidR="00770AAB">
                        <w:rPr>
                          <w:rFonts w:cs="Arial"/>
                          <w:b/>
                          <w:u w:val="single"/>
                        </w:rPr>
                        <w:t xml:space="preserve"> and ESC rights</w:t>
                      </w:r>
                    </w:p>
                    <w:p w14:paraId="21FBD331" w14:textId="075277B2" w:rsidR="008A0F79" w:rsidRPr="00F77081" w:rsidRDefault="0075491E" w:rsidP="008A0F79">
                      <w:pPr>
                        <w:ind w:right="432"/>
                        <w:rPr>
                          <w:rFonts w:cs="Arial"/>
                          <w:b/>
                        </w:rPr>
                      </w:pPr>
                      <w:r>
                        <w:rPr>
                          <w:rFonts w:cs="Arial"/>
                          <w:b/>
                        </w:rPr>
                        <w:t>6</w:t>
                      </w:r>
                      <w:r w:rsidR="008A0F79">
                        <w:rPr>
                          <w:rFonts w:cs="Arial"/>
                          <w:b/>
                        </w:rPr>
                        <w:t xml:space="preserve">. </w:t>
                      </w:r>
                      <w:r w:rsidR="008A0F79" w:rsidRPr="001D4FF1">
                        <w:rPr>
                          <w:rFonts w:cs="Arial"/>
                          <w:b/>
                        </w:rPr>
                        <w:t>Canad</w:t>
                      </w:r>
                      <w:r w:rsidR="008A0F79">
                        <w:rPr>
                          <w:rFonts w:cs="Arial"/>
                          <w:b/>
                        </w:rPr>
                        <w:t xml:space="preserve">a should be asked to report on cases brought before human rights tribunals in which the Covenant has been applied to interpret provincial /territorial or federal human rights legislation in accordance with General Comment No. 9, para 15.  Canada should be requested to provide information on whether federal or provincial/territorial </w:t>
                      </w:r>
                      <w:r w:rsidR="008A0F79" w:rsidRPr="00F77081">
                        <w:rPr>
                          <w:rFonts w:cs="Arial"/>
                          <w:b/>
                        </w:rPr>
                        <w:t>governments</w:t>
                      </w:r>
                      <w:r w:rsidR="008A0F79">
                        <w:rPr>
                          <w:rFonts w:cs="Arial"/>
                          <w:b/>
                        </w:rPr>
                        <w:t xml:space="preserve"> have made changes or are contemplating making changes to human rights legislation to ensure access to justice and effective remedies to violation of ESC rights.  Canada should report on actions by human rights commissions or other agencies to deal with ESC violations resulting from activities of businesses or private actors in the area of housing, extractive industries, pharmaceutical industries, agriculture or other areas</w:t>
                      </w:r>
                      <w:r w:rsidR="008A0F79" w:rsidRPr="00F77081">
                        <w:rPr>
                          <w:rFonts w:cs="Arial"/>
                          <w:b/>
                        </w:rPr>
                        <w:t xml:space="preserve">  </w:t>
                      </w:r>
                    </w:p>
                    <w:p w14:paraId="54E1D4BE" w14:textId="77777777" w:rsidR="008A0F79" w:rsidRDefault="008A0F79" w:rsidP="008A0F79"/>
                  </w:txbxContent>
                </v:textbox>
                <w10:anchorlock/>
              </v:shape>
            </w:pict>
          </mc:Fallback>
        </mc:AlternateContent>
      </w:r>
    </w:p>
    <w:p w14:paraId="407EFE2F" w14:textId="77777777" w:rsidR="0075491E" w:rsidRPr="00C4262C" w:rsidRDefault="0075491E" w:rsidP="008A0F79">
      <w:pPr>
        <w:rPr>
          <w:rFonts w:cs="Arial"/>
        </w:rPr>
      </w:pPr>
    </w:p>
    <w:p w14:paraId="6BFC3788" w14:textId="77777777" w:rsidR="008A0F79" w:rsidRDefault="008A0F79" w:rsidP="0075491E">
      <w:pPr>
        <w:pStyle w:val="Heading2"/>
        <w:numPr>
          <w:ilvl w:val="0"/>
          <w:numId w:val="21"/>
        </w:numPr>
      </w:pPr>
      <w:bookmarkStart w:id="33" w:name="_Toc32279505"/>
      <w:bookmarkStart w:id="34" w:name="_Toc442138326"/>
      <w:bookmarkStart w:id="35" w:name="_Toc442138362"/>
      <w:bookmarkStart w:id="36" w:name="_Toc115198225"/>
      <w:r w:rsidRPr="0075491E">
        <w:rPr>
          <w:color w:val="0070C0"/>
          <w:sz w:val="24"/>
          <w:szCs w:val="24"/>
        </w:rPr>
        <w:t>Failure to Provide Effective Systemic Remedies when Adequate Supports and Services for Persons with Disabilities for community living are not Provided</w:t>
      </w:r>
      <w:r>
        <w:t>.</w:t>
      </w:r>
      <w:bookmarkEnd w:id="33"/>
      <w:bookmarkEnd w:id="36"/>
    </w:p>
    <w:p w14:paraId="45EB3E0A" w14:textId="77777777" w:rsidR="008A0F79" w:rsidRPr="00450C33" w:rsidRDefault="008A0F79" w:rsidP="008A0F79">
      <w:pPr>
        <w:tabs>
          <w:tab w:val="left" w:pos="6945"/>
        </w:tabs>
      </w:pPr>
      <w:r>
        <w:tab/>
      </w:r>
    </w:p>
    <w:p w14:paraId="6CB7D32E" w14:textId="77777777" w:rsidR="008A0F79" w:rsidRDefault="008A0F79" w:rsidP="008A0F79">
      <w:pPr>
        <w:numPr>
          <w:ilvl w:val="0"/>
          <w:numId w:val="2"/>
        </w:numPr>
        <w:rPr>
          <w:rFonts w:cs="Arial"/>
          <w:iCs/>
        </w:rPr>
      </w:pPr>
      <w:r w:rsidRPr="00BC7E43">
        <w:rPr>
          <w:rFonts w:cs="Arial"/>
          <w:iCs/>
        </w:rPr>
        <w:t xml:space="preserve">In Nova Scotia, following the Province’s decision to  impose a decades-long  freeze on the creation of new community based options for people with disabilities,  three individual complainants were institutionalized in a locked psychiatric ward and other large congregate care facilities —for no medical or legal reason ---solely because the supports and services they required to live in the community were not available.  The individuals’ experiences reflect the Province’s treatment of persons with disabilities generally, continuing to affect the lives of thousands of persons with disabilities over the course of three decades.  </w:t>
      </w:r>
    </w:p>
    <w:p w14:paraId="632D8BD6" w14:textId="77777777" w:rsidR="008A0F79" w:rsidRDefault="008A0F79" w:rsidP="008A0F79">
      <w:pPr>
        <w:numPr>
          <w:ilvl w:val="0"/>
          <w:numId w:val="2"/>
        </w:numPr>
        <w:rPr>
          <w:rFonts w:cs="Arial"/>
          <w:iCs/>
        </w:rPr>
      </w:pPr>
      <w:r>
        <w:t>The three individual complainants with disabilities and an NGO, the ‘Disability Rights Coalition’, filed complaints under the Nova Scotia Human Rights Act alleging discrimination based on the grounds of disability and source of income, in being denied accommodative social assistance to live in the community, resulting in unnecessary institutionalisation, homelessness and other inappropriate living situations.  The Disability Rights Coalition is seeking a systemic remedy against the Province that requires the development and implementation of an integrated plan, that includes benchmarks, goals and timeframes, to provide accommodative supports and services to all those persons with disabilities in institutions and on the Disability Supports Program waitlist who are seeking a community based option, including a small option home in the community.  The remedy sought includes the enactment of legislation to codify an enforceable right to accommodative supports and services for persons with disabilities, in accordance with the UN Convention on the Rights of Persons with Disabilities, with the Nova Scotia Human Rights Commission monitoring and maintaining supervision over the implementation of the remedy in consultation with stakeholders.</w:t>
      </w:r>
    </w:p>
    <w:p w14:paraId="655A81F5" w14:textId="77777777" w:rsidR="008A0F79" w:rsidRPr="00BC7E43" w:rsidRDefault="008A0F79" w:rsidP="008A0F79">
      <w:pPr>
        <w:numPr>
          <w:ilvl w:val="0"/>
          <w:numId w:val="2"/>
        </w:numPr>
        <w:rPr>
          <w:rFonts w:cs="Arial"/>
          <w:iCs/>
        </w:rPr>
      </w:pPr>
      <w:r>
        <w:t>Rather than acknowledging their obligation under article 19 of the CRPD and articles 2 and 11 of the ICESCR to accommodate the differential needs of persons with disabilities to live and participate fully in their communities,  the Attorney General for Nova Scotia argued that there is no constitutional guarantee to a right to housing, and that failing to provide housing in the community with supports to persons with disabilities does not constitute discrimination.  The Tribunal dismissed any interpretive role of the right to independent living under international human rights law in interpreting the scope of the protections in the Nova Scotia Human Rights Act.</w:t>
      </w:r>
      <w:r>
        <w:rPr>
          <w:rStyle w:val="FootnoteReference"/>
        </w:rPr>
        <w:footnoteReference w:id="16"/>
      </w:r>
      <w:r>
        <w:t xml:space="preserve">  Instead, the Tribunal interpreted equality protections as being restricted to the provision of individual remedies to discrimination, dismissing the claim advanced by the Disability Rights Coalition for a remedy that would require the Province to provide adequate community housing with supports for the more than 1500 people on the waiting list for housing with supports.    The case is under appeal to the Nova Scotia Court of Appeal with the hearing scheduled for May 2020.</w:t>
      </w:r>
    </w:p>
    <w:p w14:paraId="5C387F73" w14:textId="77777777" w:rsidR="008A0F79" w:rsidRDefault="008A0F79" w:rsidP="008A0F79">
      <w:pPr>
        <w:rPr>
          <w:rFonts w:cs="Arial"/>
          <w:b/>
        </w:rPr>
      </w:pPr>
      <w:r>
        <w:rPr>
          <w:noProof/>
        </w:rPr>
        <mc:AlternateContent>
          <mc:Choice Requires="wps">
            <w:drawing>
              <wp:inline distT="0" distB="0" distL="0" distR="0" wp14:anchorId="24F3B0FD" wp14:editId="33D9A6A3">
                <wp:extent cx="6035040" cy="2186940"/>
                <wp:effectExtent l="0" t="0" r="60960" b="6096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18694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6A82C796" w14:textId="77777777" w:rsidR="008A0F79" w:rsidRPr="00450C33" w:rsidRDefault="008A0F79" w:rsidP="008A0F79">
                            <w:pPr>
                              <w:ind w:firstLine="720"/>
                              <w:rPr>
                                <w:b/>
                                <w:u w:val="single"/>
                              </w:rPr>
                            </w:pPr>
                            <w:r w:rsidRPr="00450C33">
                              <w:rPr>
                                <w:b/>
                                <w:u w:val="single"/>
                              </w:rPr>
                              <w:t>Recommendation Re Community-Based</w:t>
                            </w:r>
                            <w:r>
                              <w:rPr>
                                <w:b/>
                                <w:u w:val="single"/>
                              </w:rPr>
                              <w:t xml:space="preserve"> Supportive</w:t>
                            </w:r>
                            <w:r w:rsidRPr="00450C33">
                              <w:rPr>
                                <w:b/>
                                <w:u w:val="single"/>
                              </w:rPr>
                              <w:t xml:space="preserve"> Housing for People with Disabilities</w:t>
                            </w:r>
                          </w:p>
                          <w:p w14:paraId="362FB86F" w14:textId="31EFA281" w:rsidR="008A0F79" w:rsidRPr="00266E97" w:rsidRDefault="008A0F79" w:rsidP="00266E97">
                            <w:pPr>
                              <w:pStyle w:val="ListParagraph"/>
                              <w:numPr>
                                <w:ilvl w:val="0"/>
                                <w:numId w:val="23"/>
                              </w:numPr>
                              <w:ind w:right="432"/>
                              <w:rPr>
                                <w:b/>
                              </w:rPr>
                            </w:pPr>
                            <w:r w:rsidRPr="00266E97">
                              <w:rPr>
                                <w:b/>
                              </w:rPr>
                              <w:t>Canada should be asked to explain whether the Province of Nova Scotia, as well as other provinces or territories and the federal government, acknowledge that failure to ensure access to the  supports and services necessary for community living, resulting in institutionalization of persons with disabilities, violates the rights of persons with disabilities, and explain whether effective systemic remedies are available in such cases.  The Province of Nova Scotia should be asked to explain how the position advanced in the Emerald Hall case (</w:t>
                            </w:r>
                            <w:r w:rsidRPr="00266E97">
                              <w:rPr>
                                <w:b/>
                                <w:bCs/>
                                <w:i/>
                                <w:iCs/>
                                <w:lang w:val="en-US"/>
                              </w:rPr>
                              <w:t xml:space="preserve">MacLean v. Nova Scotia (Attorney General), </w:t>
                            </w:r>
                            <w:r w:rsidRPr="00266E97">
                              <w:rPr>
                                <w:b/>
                                <w:bCs/>
                                <w:lang w:val="en-US"/>
                              </w:rPr>
                              <w:t xml:space="preserve">[2019] N.S.H.R.B.I.D. No. 2) </w:t>
                            </w:r>
                            <w:r w:rsidRPr="00266E97">
                              <w:rPr>
                                <w:b/>
                              </w:rPr>
                              <w:t>conforms with its obligations as described in General Comment No. 9, para 15.</w:t>
                            </w:r>
                          </w:p>
                          <w:p w14:paraId="5FC3463A" w14:textId="77777777" w:rsidR="008A0F79" w:rsidRDefault="008A0F79" w:rsidP="008A0F79"/>
                        </w:txbxContent>
                      </wps:txbx>
                      <wps:bodyPr rot="0" vert="horz" wrap="square" lIns="91440" tIns="45720" rIns="91440" bIns="45720" anchor="t" anchorCtr="0" upright="1">
                        <a:noAutofit/>
                      </wps:bodyPr>
                    </wps:wsp>
                  </a:graphicData>
                </a:graphic>
              </wp:inline>
            </w:drawing>
          </mc:Choice>
          <mc:Fallback>
            <w:pict>
              <v:shape w14:anchorId="24F3B0FD" id="Text Box 1" o:spid="_x0000_s1032" type="#_x0000_t202" style="width:475.2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" fillcolor="#f2f2f2">
                <v:shadow on="t"/>
                <v:textbox>
                  <w:txbxContent>
                    <w:p w14:paraId="6A82C796" w14:textId="77777777" w:rsidR="008A0F79" w:rsidRPr="00450C33" w:rsidRDefault="008A0F79" w:rsidP="008A0F79">
                      <w:pPr>
                        <w:ind w:firstLine="720"/>
                        <w:rPr>
                          <w:b/>
                          <w:u w:val="single"/>
                        </w:rPr>
                      </w:pPr>
                      <w:r w:rsidRPr="00450C33">
                        <w:rPr>
                          <w:b/>
                          <w:u w:val="single"/>
                        </w:rPr>
                        <w:t>Recommendation Re Community-Based</w:t>
                      </w:r>
                      <w:r>
                        <w:rPr>
                          <w:b/>
                          <w:u w:val="single"/>
                        </w:rPr>
                        <w:t xml:space="preserve"> Supportive</w:t>
                      </w:r>
                      <w:r w:rsidRPr="00450C33">
                        <w:rPr>
                          <w:b/>
                          <w:u w:val="single"/>
                        </w:rPr>
                        <w:t xml:space="preserve"> Housing for People with Disabilities</w:t>
                      </w:r>
                    </w:p>
                    <w:p w14:paraId="362FB86F" w14:textId="31EFA281" w:rsidR="008A0F79" w:rsidRPr="00266E97" w:rsidRDefault="008A0F79" w:rsidP="00266E97">
                      <w:pPr>
                        <w:pStyle w:val="ListParagraph"/>
                        <w:numPr>
                          <w:ilvl w:val="0"/>
                          <w:numId w:val="23"/>
                        </w:numPr>
                        <w:ind w:right="432"/>
                        <w:rPr>
                          <w:b/>
                        </w:rPr>
                      </w:pPr>
                      <w:r w:rsidRPr="00266E97">
                        <w:rPr>
                          <w:b/>
                        </w:rPr>
                        <w:t>Canada should be asked to explain whether the Province of Nova Scotia, as well as other provinces or territories and the federal government, acknowledge that failure to ensure access to the  supports and services necessary for community living, resulting in institutionalization of persons with disabilities, violates the rights of persons with disabilities, and explain whether effective systemic remedies are available in such cases.  The Province of Nova Scotia should be asked to explain how the position advanced in the Emerald Hall case (</w:t>
                      </w:r>
                      <w:r w:rsidRPr="00266E97">
                        <w:rPr>
                          <w:b/>
                          <w:bCs/>
                          <w:i/>
                          <w:iCs/>
                          <w:lang w:val="en-US"/>
                        </w:rPr>
                        <w:t xml:space="preserve">MacLean v. Nova Scotia (Attorney General), </w:t>
                      </w:r>
                      <w:r w:rsidRPr="00266E97">
                        <w:rPr>
                          <w:b/>
                          <w:bCs/>
                          <w:lang w:val="en-US"/>
                        </w:rPr>
                        <w:t xml:space="preserve">[2019] N.S.H.R.B.I.D. No. 2) </w:t>
                      </w:r>
                      <w:r w:rsidRPr="00266E97">
                        <w:rPr>
                          <w:b/>
                        </w:rPr>
                        <w:t>conforms with its obligations as described in General Comment No. 9, para 15.</w:t>
                      </w:r>
                    </w:p>
                    <w:p w14:paraId="5FC3463A" w14:textId="77777777" w:rsidR="008A0F79" w:rsidRDefault="008A0F79" w:rsidP="008A0F79"/>
                  </w:txbxContent>
                </v:textbox>
                <w10:anchorlock/>
              </v:shape>
            </w:pict>
          </mc:Fallback>
        </mc:AlternateContent>
      </w:r>
    </w:p>
    <w:bookmarkEnd w:id="34"/>
    <w:bookmarkEnd w:id="35"/>
    <w:p w14:paraId="4FB9150C" w14:textId="77777777" w:rsidR="008A0F79" w:rsidRPr="003B6239" w:rsidRDefault="008A0F79" w:rsidP="003B6239">
      <w:pPr>
        <w:ind w:right="-54"/>
        <w:rPr>
          <w:rFonts w:cs="Arial"/>
          <w:b/>
        </w:rPr>
      </w:pPr>
    </w:p>
    <w:p w14:paraId="7F829FB4" w14:textId="144F6941" w:rsidR="002D167E" w:rsidRPr="0075491E" w:rsidRDefault="002D167E" w:rsidP="0075491E">
      <w:pPr>
        <w:pStyle w:val="Heading2"/>
        <w:numPr>
          <w:ilvl w:val="0"/>
          <w:numId w:val="18"/>
        </w:numPr>
        <w:rPr>
          <w:color w:val="4472C4" w:themeColor="accent1"/>
        </w:rPr>
      </w:pPr>
      <w:bookmarkStart w:id="37" w:name="_Toc32279506"/>
      <w:bookmarkStart w:id="38" w:name="_Toc115198226"/>
      <w:r w:rsidRPr="0075491E">
        <w:rPr>
          <w:color w:val="4472C4" w:themeColor="accent1"/>
        </w:rPr>
        <w:t>INTER-GOVERNMENTAL INITIATIVES AND FRAMEWORKS FOR ACCESS TO JUSTICE</w:t>
      </w:r>
      <w:bookmarkEnd w:id="37"/>
      <w:bookmarkEnd w:id="38"/>
      <w:r w:rsidRPr="0075491E">
        <w:rPr>
          <w:color w:val="4472C4" w:themeColor="accent1"/>
        </w:rPr>
        <w:t xml:space="preserve"> </w:t>
      </w:r>
    </w:p>
    <w:p w14:paraId="7DD8FBCE" w14:textId="7DD9171F" w:rsidR="00F51710" w:rsidRDefault="00F51710" w:rsidP="00552826">
      <w:pPr>
        <w:rPr>
          <w:rFonts w:cs="Arial"/>
        </w:rPr>
      </w:pPr>
    </w:p>
    <w:p w14:paraId="17147F6F" w14:textId="5D2A595E" w:rsidR="00F24D30" w:rsidRPr="0075491E" w:rsidRDefault="00F24D30" w:rsidP="0075491E">
      <w:pPr>
        <w:pStyle w:val="Heading2"/>
        <w:numPr>
          <w:ilvl w:val="0"/>
          <w:numId w:val="22"/>
        </w:numPr>
        <w:rPr>
          <w:color w:val="0070C0"/>
          <w:sz w:val="24"/>
          <w:szCs w:val="24"/>
        </w:rPr>
      </w:pPr>
      <w:bookmarkStart w:id="39" w:name="_Toc32279507"/>
      <w:bookmarkStart w:id="40" w:name="_Toc115198227"/>
      <w:r w:rsidRPr="0075491E">
        <w:rPr>
          <w:color w:val="0070C0"/>
          <w:sz w:val="24"/>
          <w:szCs w:val="24"/>
        </w:rPr>
        <w:t>Follow-up to Inter-Ministerial Meeting of December 11</w:t>
      </w:r>
      <w:r w:rsidR="00ED26B0" w:rsidRPr="0075491E">
        <w:rPr>
          <w:color w:val="0070C0"/>
          <w:sz w:val="24"/>
          <w:szCs w:val="24"/>
        </w:rPr>
        <w:t>-12</w:t>
      </w:r>
      <w:r w:rsidRPr="0075491E">
        <w:rPr>
          <w:color w:val="0070C0"/>
          <w:sz w:val="24"/>
          <w:szCs w:val="24"/>
        </w:rPr>
        <w:t>, 2017</w:t>
      </w:r>
      <w:bookmarkEnd w:id="39"/>
      <w:bookmarkEnd w:id="40"/>
    </w:p>
    <w:p w14:paraId="1662DB6F" w14:textId="77777777" w:rsidR="008E1E36" w:rsidRPr="008E1E36" w:rsidRDefault="008E1E36" w:rsidP="008E1E36"/>
    <w:p w14:paraId="34843A42" w14:textId="100BCB6A" w:rsidR="00B3616F" w:rsidRPr="00B3616F" w:rsidRDefault="00F24D30" w:rsidP="00B3616F">
      <w:pPr>
        <w:numPr>
          <w:ilvl w:val="0"/>
          <w:numId w:val="2"/>
        </w:numPr>
        <w:rPr>
          <w:rFonts w:cs="Arial"/>
        </w:rPr>
      </w:pPr>
      <w:r w:rsidRPr="008E1E36">
        <w:rPr>
          <w:rFonts w:cs="Arial"/>
        </w:rPr>
        <w:t xml:space="preserve">In 2017 the federal government convened the first inter-ministerial conference on human rights </w:t>
      </w:r>
      <w:r w:rsidR="003B663B">
        <w:rPr>
          <w:rFonts w:cs="Arial"/>
        </w:rPr>
        <w:t>in 29 years</w:t>
      </w:r>
      <w:r w:rsidRPr="008E1E36">
        <w:rPr>
          <w:rFonts w:cs="Arial"/>
        </w:rPr>
        <w:t>.  One of the thre</w:t>
      </w:r>
      <w:r w:rsidR="003B6239">
        <w:rPr>
          <w:rFonts w:cs="Arial"/>
        </w:rPr>
        <w:t>e</w:t>
      </w:r>
      <w:r w:rsidRPr="008E1E36">
        <w:rPr>
          <w:rFonts w:cs="Arial"/>
        </w:rPr>
        <w:t xml:space="preserve"> topics </w:t>
      </w:r>
      <w:r w:rsidR="003B6239">
        <w:rPr>
          <w:rFonts w:cs="Arial"/>
        </w:rPr>
        <w:t>on the agenda</w:t>
      </w:r>
      <w:r w:rsidRPr="008E1E36">
        <w:rPr>
          <w:rFonts w:cs="Arial"/>
        </w:rPr>
        <w:t xml:space="preserve"> was the justiciability </w:t>
      </w:r>
      <w:r w:rsidR="003B663B">
        <w:rPr>
          <w:rFonts w:cs="Arial"/>
        </w:rPr>
        <w:t xml:space="preserve">and implementation </w:t>
      </w:r>
      <w:r w:rsidRPr="008E1E36">
        <w:rPr>
          <w:rFonts w:cs="Arial"/>
        </w:rPr>
        <w:t xml:space="preserve">of ESC rights. </w:t>
      </w:r>
      <w:r>
        <w:rPr>
          <w:rFonts w:cs="Arial"/>
        </w:rPr>
        <w:t>In the Statement released at the end of the Conference, the Ministers expressed their commitment to s</w:t>
      </w:r>
      <w:r w:rsidRPr="00F24D30">
        <w:rPr>
          <w:rFonts w:cs="Arial"/>
        </w:rPr>
        <w:t xml:space="preserve">trengthening Canada's implementation of </w:t>
      </w:r>
      <w:r w:rsidR="003B663B">
        <w:rPr>
          <w:rFonts w:cs="Arial"/>
        </w:rPr>
        <w:t xml:space="preserve">ESC </w:t>
      </w:r>
      <w:r w:rsidRPr="00F24D30">
        <w:rPr>
          <w:rFonts w:cs="Arial"/>
        </w:rPr>
        <w:t>rights</w:t>
      </w:r>
      <w:r>
        <w:rPr>
          <w:rFonts w:cs="Arial"/>
        </w:rPr>
        <w:t xml:space="preserve"> </w:t>
      </w:r>
      <w:r w:rsidR="00715BF4">
        <w:rPr>
          <w:rFonts w:cs="Arial"/>
        </w:rPr>
        <w:t xml:space="preserve">and </w:t>
      </w:r>
      <w:r w:rsidRPr="00F24D30">
        <w:rPr>
          <w:rFonts w:cs="Arial"/>
        </w:rPr>
        <w:t>to the</w:t>
      </w:r>
      <w:r w:rsidR="00715BF4">
        <w:rPr>
          <w:rFonts w:cs="Arial"/>
        </w:rPr>
        <w:t>ir</w:t>
      </w:r>
      <w:r w:rsidRPr="00F24D30">
        <w:rPr>
          <w:rFonts w:cs="Arial"/>
        </w:rPr>
        <w:t xml:space="preserve"> progressive realization.</w:t>
      </w:r>
      <w:r w:rsidR="00715BF4">
        <w:rPr>
          <w:rStyle w:val="FootnoteReference"/>
          <w:rFonts w:cs="Arial"/>
        </w:rPr>
        <w:footnoteReference w:id="17"/>
      </w:r>
      <w:r w:rsidR="00F8465E">
        <w:rPr>
          <w:rFonts w:cs="Arial"/>
        </w:rPr>
        <w:t xml:space="preserve">  </w:t>
      </w:r>
    </w:p>
    <w:p w14:paraId="1941C716" w14:textId="77777777" w:rsidR="00715BF4" w:rsidRPr="00C5478C" w:rsidRDefault="00715BF4" w:rsidP="00715BF4">
      <w:pPr>
        <w:ind w:right="-54"/>
        <w:rPr>
          <w:rFonts w:cs="Arial"/>
          <w:b/>
        </w:rPr>
      </w:pPr>
      <w:r>
        <w:rPr>
          <w:rFonts w:cs="Arial"/>
          <w:b/>
          <w:noProof/>
        </w:rPr>
        <mc:AlternateContent>
          <mc:Choice Requires="wps">
            <w:drawing>
              <wp:inline distT="0" distB="0" distL="0" distR="0" wp14:anchorId="0B7F4C45" wp14:editId="496DEB2E">
                <wp:extent cx="6035040" cy="1874520"/>
                <wp:effectExtent l="0" t="0" r="60960" b="49530"/>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87452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14E28A79" w14:textId="42B9A822" w:rsidR="00760C74" w:rsidRPr="001749A2" w:rsidRDefault="00760C74" w:rsidP="00715BF4">
                            <w:pPr>
                              <w:ind w:left="432" w:right="432" w:hanging="360"/>
                              <w:rPr>
                                <w:b/>
                                <w:bCs/>
                                <w:u w:val="single"/>
                              </w:rPr>
                            </w:pPr>
                            <w:r w:rsidRPr="001749A2">
                              <w:rPr>
                                <w:b/>
                                <w:bCs/>
                                <w:u w:val="single"/>
                              </w:rPr>
                              <w:t xml:space="preserve">Follow up to the Federal/Provincial/Territorial Inter - Ministerial </w:t>
                            </w:r>
                            <w:r>
                              <w:rPr>
                                <w:b/>
                                <w:bCs/>
                                <w:u w:val="single"/>
                              </w:rPr>
                              <w:t>Meeting and the c</w:t>
                            </w:r>
                            <w:r w:rsidRPr="001749A2">
                              <w:rPr>
                                <w:b/>
                                <w:bCs/>
                                <w:u w:val="single"/>
                              </w:rPr>
                              <w:t xml:space="preserve">ommitment to </w:t>
                            </w:r>
                            <w:r>
                              <w:rPr>
                                <w:b/>
                                <w:bCs/>
                                <w:u w:val="single"/>
                              </w:rPr>
                              <w:t>s</w:t>
                            </w:r>
                            <w:r w:rsidRPr="001749A2">
                              <w:rPr>
                                <w:b/>
                                <w:bCs/>
                                <w:u w:val="single"/>
                              </w:rPr>
                              <w:t xml:space="preserve">trengthen ESC rights </w:t>
                            </w:r>
                          </w:p>
                          <w:p w14:paraId="3BBB65DB" w14:textId="47464BFC" w:rsidR="00760C74" w:rsidRPr="00F8465E" w:rsidRDefault="00266E97" w:rsidP="00760C74">
                            <w:pPr>
                              <w:numPr>
                                <w:ilvl w:val="0"/>
                                <w:numId w:val="3"/>
                              </w:numPr>
                              <w:ind w:left="72" w:right="432"/>
                              <w:rPr>
                                <w:rFonts w:cs="Arial"/>
                                <w:b/>
                              </w:rPr>
                            </w:pPr>
                            <w:r>
                              <w:rPr>
                                <w:rFonts w:cs="Arial"/>
                                <w:b/>
                              </w:rPr>
                              <w:t>8</w:t>
                            </w:r>
                            <w:r w:rsidR="00760C74" w:rsidRPr="00F8465E">
                              <w:rPr>
                                <w:rFonts w:cs="Arial"/>
                                <w:b/>
                              </w:rPr>
                              <w:t xml:space="preserve">. We recommend that the Committee </w:t>
                            </w:r>
                            <w:r w:rsidR="003B663B">
                              <w:rPr>
                                <w:rFonts w:cs="Arial"/>
                                <w:b/>
                              </w:rPr>
                              <w:t xml:space="preserve">recognize </w:t>
                            </w:r>
                            <w:r w:rsidR="00760C74" w:rsidRPr="00F8465E">
                              <w:rPr>
                                <w:rFonts w:cs="Arial"/>
                                <w:b/>
                              </w:rPr>
                              <w:t xml:space="preserve">the convening of the first Federal/Provincial/Territorial inter-ministerial meeting on human rights in 29 years, on December 11, 2017, </w:t>
                            </w:r>
                            <w:r w:rsidR="003B663B">
                              <w:rPr>
                                <w:rFonts w:cs="Arial"/>
                                <w:b/>
                              </w:rPr>
                              <w:t>as a positive development, noting also</w:t>
                            </w:r>
                            <w:r w:rsidR="00760C74" w:rsidRPr="00F8465E">
                              <w:rPr>
                                <w:rFonts w:cs="Arial"/>
                                <w:b/>
                              </w:rPr>
                              <w:t xml:space="preserve"> that the justiciability of ESC rights was</w:t>
                            </w:r>
                            <w:r w:rsidR="003B663B">
                              <w:rPr>
                                <w:rFonts w:cs="Arial"/>
                                <w:b/>
                              </w:rPr>
                              <w:t xml:space="preserve"> one of four key </w:t>
                            </w:r>
                            <w:r w:rsidR="00760C74" w:rsidRPr="00F8465E">
                              <w:rPr>
                                <w:rFonts w:cs="Arial"/>
                                <w:b/>
                              </w:rPr>
                              <w:t>issues on the agenda. The Committee should</w:t>
                            </w:r>
                            <w:r w:rsidR="003B663B">
                              <w:rPr>
                                <w:rFonts w:cs="Arial"/>
                                <w:b/>
                              </w:rPr>
                              <w:t>, however,</w:t>
                            </w:r>
                            <w:r w:rsidR="00760C74" w:rsidRPr="00F8465E">
                              <w:rPr>
                                <w:rFonts w:cs="Arial"/>
                                <w:b/>
                              </w:rPr>
                              <w:t xml:space="preserve"> request information about how the commitment to strengthen</w:t>
                            </w:r>
                            <w:r w:rsidR="003B663B">
                              <w:rPr>
                                <w:rFonts w:cs="Arial"/>
                                <w:b/>
                              </w:rPr>
                              <w:t xml:space="preserve"> the implementation of</w:t>
                            </w:r>
                            <w:r w:rsidR="00760C74" w:rsidRPr="00F8465E">
                              <w:rPr>
                                <w:rFonts w:cs="Arial"/>
                                <w:b/>
                              </w:rPr>
                              <w:t xml:space="preserve"> ESC rights</w:t>
                            </w:r>
                            <w:r w:rsidR="003B663B">
                              <w:rPr>
                                <w:rFonts w:cs="Arial"/>
                                <w:b/>
                              </w:rPr>
                              <w:t xml:space="preserve">, </w:t>
                            </w:r>
                            <w:r w:rsidR="00760C74" w:rsidRPr="00F8465E">
                              <w:rPr>
                                <w:rFonts w:cs="Arial"/>
                                <w:b/>
                              </w:rPr>
                              <w:t>made at the conclusion of the FPT meeting,</w:t>
                            </w:r>
                            <w:r w:rsidR="003B663B">
                              <w:rPr>
                                <w:rFonts w:cs="Arial"/>
                                <w:b/>
                              </w:rPr>
                              <w:t xml:space="preserve"> </w:t>
                            </w:r>
                            <w:r w:rsidR="00760C74" w:rsidRPr="00F8465E">
                              <w:rPr>
                                <w:rFonts w:cs="Arial"/>
                                <w:b/>
                              </w:rPr>
                              <w:t xml:space="preserve">is being implemented. </w:t>
                            </w:r>
                          </w:p>
                          <w:p w14:paraId="5544433F" w14:textId="1F3F4985" w:rsidR="00760C74" w:rsidRDefault="00760C74" w:rsidP="009B7592">
                            <w:pPr>
                              <w:numPr>
                                <w:ilvl w:val="0"/>
                                <w:numId w:val="3"/>
                              </w:numPr>
                              <w:ind w:left="72" w:right="432"/>
                              <w:rPr>
                                <w:rFonts w:cs="Arial"/>
                                <w:b/>
                              </w:rPr>
                            </w:pPr>
                          </w:p>
                          <w:p w14:paraId="59AC18FB" w14:textId="06952A84" w:rsidR="00760C74" w:rsidRPr="00715BF4" w:rsidRDefault="00760C74" w:rsidP="009B7592">
                            <w:pPr>
                              <w:numPr>
                                <w:ilvl w:val="0"/>
                                <w:numId w:val="3"/>
                              </w:numPr>
                              <w:ind w:left="72" w:right="432"/>
                              <w:rPr>
                                <w:rFonts w:cs="Arial"/>
                                <w:b/>
                              </w:rPr>
                            </w:pPr>
                          </w:p>
                        </w:txbxContent>
                      </wps:txbx>
                      <wps:bodyPr rot="0" vert="horz" wrap="square" lIns="91440" tIns="45720" rIns="91440" bIns="45720" anchor="t" anchorCtr="0" upright="1">
                        <a:noAutofit/>
                      </wps:bodyPr>
                    </wps:wsp>
                  </a:graphicData>
                </a:graphic>
              </wp:inline>
            </w:drawing>
          </mc:Choice>
          <mc:Fallback>
            <w:pict>
              <v:shape w14:anchorId="0B7F4C45" id="_x0000_s1033" type="#_x0000_t202" style="width:475.2pt;height:1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" fillcolor="#f2f2f2">
                <v:shadow on="t"/>
                <v:textbox>
                  <w:txbxContent>
                    <w:p w14:paraId="14E28A79" w14:textId="42B9A822" w:rsidR="00760C74" w:rsidRPr="001749A2" w:rsidRDefault="00760C74" w:rsidP="00715BF4">
                      <w:pPr>
                        <w:ind w:left="432" w:right="432" w:hanging="360"/>
                        <w:rPr>
                          <w:b/>
                          <w:bCs/>
                          <w:u w:val="single"/>
                        </w:rPr>
                      </w:pPr>
                      <w:r w:rsidRPr="001749A2">
                        <w:rPr>
                          <w:b/>
                          <w:bCs/>
                          <w:u w:val="single"/>
                        </w:rPr>
                        <w:t xml:space="preserve">Follow up to the Federal/Provincial/Territorial Inter - Ministerial </w:t>
                      </w:r>
                      <w:r>
                        <w:rPr>
                          <w:b/>
                          <w:bCs/>
                          <w:u w:val="single"/>
                        </w:rPr>
                        <w:t>Meeting and the c</w:t>
                      </w:r>
                      <w:r w:rsidRPr="001749A2">
                        <w:rPr>
                          <w:b/>
                          <w:bCs/>
                          <w:u w:val="single"/>
                        </w:rPr>
                        <w:t xml:space="preserve">ommitment to </w:t>
                      </w:r>
                      <w:r>
                        <w:rPr>
                          <w:b/>
                          <w:bCs/>
                          <w:u w:val="single"/>
                        </w:rPr>
                        <w:t>s</w:t>
                      </w:r>
                      <w:r w:rsidRPr="001749A2">
                        <w:rPr>
                          <w:b/>
                          <w:bCs/>
                          <w:u w:val="single"/>
                        </w:rPr>
                        <w:t xml:space="preserve">trengthen ESC rights </w:t>
                      </w:r>
                    </w:p>
                    <w:p w14:paraId="3BBB65DB" w14:textId="47464BFC" w:rsidR="00760C74" w:rsidRPr="00F8465E" w:rsidRDefault="00266E97" w:rsidP="00760C74">
                      <w:pPr>
                        <w:numPr>
                          <w:ilvl w:val="0"/>
                          <w:numId w:val="3"/>
                        </w:numPr>
                        <w:ind w:left="72" w:right="432"/>
                        <w:rPr>
                          <w:rFonts w:cs="Arial"/>
                          <w:b/>
                        </w:rPr>
                      </w:pPr>
                      <w:r>
                        <w:rPr>
                          <w:rFonts w:cs="Arial"/>
                          <w:b/>
                        </w:rPr>
                        <w:t>8</w:t>
                      </w:r>
                      <w:r w:rsidR="00760C74" w:rsidRPr="00F8465E">
                        <w:rPr>
                          <w:rFonts w:cs="Arial"/>
                          <w:b/>
                        </w:rPr>
                        <w:t xml:space="preserve">. We recommend that the Committee </w:t>
                      </w:r>
                      <w:r w:rsidR="003B663B">
                        <w:rPr>
                          <w:rFonts w:cs="Arial"/>
                          <w:b/>
                        </w:rPr>
                        <w:t xml:space="preserve">recognize </w:t>
                      </w:r>
                      <w:r w:rsidR="00760C74" w:rsidRPr="00F8465E">
                        <w:rPr>
                          <w:rFonts w:cs="Arial"/>
                          <w:b/>
                        </w:rPr>
                        <w:t xml:space="preserve">the convening of the first Federal/Provincial/Territorial inter-ministerial meeting on human rights in 29 years, on December 11, 2017, </w:t>
                      </w:r>
                      <w:r w:rsidR="003B663B">
                        <w:rPr>
                          <w:rFonts w:cs="Arial"/>
                          <w:b/>
                        </w:rPr>
                        <w:t>as a positive development, noting also</w:t>
                      </w:r>
                      <w:r w:rsidR="00760C74" w:rsidRPr="00F8465E">
                        <w:rPr>
                          <w:rFonts w:cs="Arial"/>
                          <w:b/>
                        </w:rPr>
                        <w:t xml:space="preserve"> that the justiciability of ESC rights was</w:t>
                      </w:r>
                      <w:r w:rsidR="003B663B">
                        <w:rPr>
                          <w:rFonts w:cs="Arial"/>
                          <w:b/>
                        </w:rPr>
                        <w:t xml:space="preserve"> one of four key </w:t>
                      </w:r>
                      <w:r w:rsidR="00760C74" w:rsidRPr="00F8465E">
                        <w:rPr>
                          <w:rFonts w:cs="Arial"/>
                          <w:b/>
                        </w:rPr>
                        <w:t>issues on the agenda. The Committee should</w:t>
                      </w:r>
                      <w:r w:rsidR="003B663B">
                        <w:rPr>
                          <w:rFonts w:cs="Arial"/>
                          <w:b/>
                        </w:rPr>
                        <w:t>, however,</w:t>
                      </w:r>
                      <w:r w:rsidR="00760C74" w:rsidRPr="00F8465E">
                        <w:rPr>
                          <w:rFonts w:cs="Arial"/>
                          <w:b/>
                        </w:rPr>
                        <w:t xml:space="preserve"> request information about how the commitment to strengthen</w:t>
                      </w:r>
                      <w:r w:rsidR="003B663B">
                        <w:rPr>
                          <w:rFonts w:cs="Arial"/>
                          <w:b/>
                        </w:rPr>
                        <w:t xml:space="preserve"> the implementation of</w:t>
                      </w:r>
                      <w:r w:rsidR="00760C74" w:rsidRPr="00F8465E">
                        <w:rPr>
                          <w:rFonts w:cs="Arial"/>
                          <w:b/>
                        </w:rPr>
                        <w:t xml:space="preserve"> ESC rights</w:t>
                      </w:r>
                      <w:r w:rsidR="003B663B">
                        <w:rPr>
                          <w:rFonts w:cs="Arial"/>
                          <w:b/>
                        </w:rPr>
                        <w:t xml:space="preserve">, </w:t>
                      </w:r>
                      <w:r w:rsidR="00760C74" w:rsidRPr="00F8465E">
                        <w:rPr>
                          <w:rFonts w:cs="Arial"/>
                          <w:b/>
                        </w:rPr>
                        <w:t>made at the conclusion of the FPT meeting,</w:t>
                      </w:r>
                      <w:r w:rsidR="003B663B">
                        <w:rPr>
                          <w:rFonts w:cs="Arial"/>
                          <w:b/>
                        </w:rPr>
                        <w:t xml:space="preserve"> </w:t>
                      </w:r>
                      <w:r w:rsidR="00760C74" w:rsidRPr="00F8465E">
                        <w:rPr>
                          <w:rFonts w:cs="Arial"/>
                          <w:b/>
                        </w:rPr>
                        <w:t xml:space="preserve">is being implemented. </w:t>
                      </w:r>
                    </w:p>
                    <w:p w14:paraId="5544433F" w14:textId="1F3F4985" w:rsidR="00760C74" w:rsidRDefault="00760C74" w:rsidP="009B7592">
                      <w:pPr>
                        <w:numPr>
                          <w:ilvl w:val="0"/>
                          <w:numId w:val="3"/>
                        </w:numPr>
                        <w:ind w:left="72" w:right="432"/>
                        <w:rPr>
                          <w:rFonts w:cs="Arial"/>
                          <w:b/>
                        </w:rPr>
                      </w:pPr>
                    </w:p>
                    <w:p w14:paraId="59AC18FB" w14:textId="06952A84" w:rsidR="00760C74" w:rsidRPr="00715BF4" w:rsidRDefault="00760C74" w:rsidP="009B7592">
                      <w:pPr>
                        <w:numPr>
                          <w:ilvl w:val="0"/>
                          <w:numId w:val="3"/>
                        </w:numPr>
                        <w:ind w:left="72" w:right="432"/>
                        <w:rPr>
                          <w:rFonts w:cs="Arial"/>
                          <w:b/>
                        </w:rPr>
                      </w:pPr>
                    </w:p>
                  </w:txbxContent>
                </v:textbox>
                <w10:anchorlock/>
              </v:shape>
            </w:pict>
          </mc:Fallback>
        </mc:AlternateContent>
      </w:r>
    </w:p>
    <w:p w14:paraId="34A4C048" w14:textId="3963918A" w:rsidR="00715BF4" w:rsidRDefault="00715BF4" w:rsidP="00F24D30">
      <w:pPr>
        <w:rPr>
          <w:rFonts w:cs="Arial"/>
        </w:rPr>
      </w:pPr>
    </w:p>
    <w:p w14:paraId="13C0AC68" w14:textId="43FFB69E" w:rsidR="00E319C7" w:rsidRPr="0075491E" w:rsidRDefault="00E319C7" w:rsidP="0075491E">
      <w:pPr>
        <w:pStyle w:val="Heading2"/>
        <w:numPr>
          <w:ilvl w:val="0"/>
          <w:numId w:val="22"/>
        </w:numPr>
        <w:rPr>
          <w:color w:val="0070C0"/>
          <w:sz w:val="24"/>
          <w:szCs w:val="24"/>
        </w:rPr>
      </w:pPr>
      <w:bookmarkStart w:id="41" w:name="_Toc32279508"/>
      <w:bookmarkStart w:id="42" w:name="_Toc115198228"/>
      <w:r w:rsidRPr="0075491E">
        <w:rPr>
          <w:color w:val="0070C0"/>
          <w:sz w:val="24"/>
          <w:szCs w:val="24"/>
        </w:rPr>
        <w:t xml:space="preserve">Mechanisms for Implementing </w:t>
      </w:r>
      <w:r w:rsidR="0017488F" w:rsidRPr="0075491E">
        <w:rPr>
          <w:color w:val="0070C0"/>
          <w:sz w:val="24"/>
          <w:szCs w:val="24"/>
        </w:rPr>
        <w:t>Covenant rights and following-up on Concluding Observations</w:t>
      </w:r>
      <w:bookmarkEnd w:id="41"/>
      <w:bookmarkEnd w:id="42"/>
    </w:p>
    <w:p w14:paraId="5ECE53DF" w14:textId="77777777" w:rsidR="00F51710" w:rsidRDefault="00F51710" w:rsidP="00F24D30">
      <w:pPr>
        <w:rPr>
          <w:rFonts w:cs="Arial"/>
        </w:rPr>
      </w:pPr>
    </w:p>
    <w:p w14:paraId="13B76C59" w14:textId="77777777" w:rsidR="003B663B" w:rsidRDefault="0017488F" w:rsidP="00F24D30">
      <w:pPr>
        <w:numPr>
          <w:ilvl w:val="0"/>
          <w:numId w:val="2"/>
        </w:numPr>
        <w:rPr>
          <w:rFonts w:cs="Arial"/>
        </w:rPr>
      </w:pPr>
      <w:r>
        <w:rPr>
          <w:rFonts w:cs="Arial"/>
        </w:rPr>
        <w:t xml:space="preserve">Another longstanding concern of </w:t>
      </w:r>
      <w:r w:rsidR="00065EC1">
        <w:rPr>
          <w:rFonts w:cs="Arial"/>
        </w:rPr>
        <w:t xml:space="preserve">the Committee </w:t>
      </w:r>
      <w:r w:rsidR="00DF7464">
        <w:rPr>
          <w:rFonts w:cs="Arial"/>
        </w:rPr>
        <w:t>has been</w:t>
      </w:r>
      <w:r w:rsidR="00065EC1">
        <w:rPr>
          <w:rFonts w:cs="Arial"/>
        </w:rPr>
        <w:t xml:space="preserve"> the ineffectiveness of FPT mechanisms to </w:t>
      </w:r>
      <w:r w:rsidR="00DF7464">
        <w:rPr>
          <w:rFonts w:cs="Arial"/>
        </w:rPr>
        <w:t xml:space="preserve">implement </w:t>
      </w:r>
      <w:r w:rsidR="00065EC1">
        <w:rPr>
          <w:rFonts w:cs="Arial"/>
        </w:rPr>
        <w:t>the Covenant and to follow up on concerns and recommendations.  The 2017 Inter-Ministerial meeting committed “</w:t>
      </w:r>
      <w:r w:rsidR="00065EC1" w:rsidRPr="00065EC1">
        <w:rPr>
          <w:rFonts w:cs="Arial"/>
        </w:rPr>
        <w:t>to enhance FPT collaboration through a senior level mechanism. They also agreed to modernize the mandate of the intergovernmental Continuing Committee of Officials on Human Rights.  This entails developing a protocol for following up on the recommendations that Canada receives from international human rights bodies and a stakeholder engagement strategy.</w:t>
      </w:r>
      <w:r w:rsidR="00065EC1">
        <w:rPr>
          <w:rFonts w:cs="Arial"/>
        </w:rPr>
        <w:t>”</w:t>
      </w:r>
      <w:r w:rsidR="00DF7464">
        <w:rPr>
          <w:rFonts w:cs="Arial"/>
        </w:rPr>
        <w:t xml:space="preserve">  </w:t>
      </w:r>
    </w:p>
    <w:p w14:paraId="0873EA98" w14:textId="4274BE5A" w:rsidR="00715BF4" w:rsidRPr="003B663B" w:rsidRDefault="00DF7464" w:rsidP="00F24D30">
      <w:pPr>
        <w:numPr>
          <w:ilvl w:val="0"/>
          <w:numId w:val="2"/>
        </w:numPr>
        <w:rPr>
          <w:rFonts w:cs="Arial"/>
        </w:rPr>
      </w:pPr>
      <w:r w:rsidRPr="003B663B">
        <w:rPr>
          <w:rFonts w:cs="Arial"/>
        </w:rPr>
        <w:t>To date, however, there has been no evidence of any follow-up to this commitment.  What is needed is legislation governing the implementation of international human rights, providing for ongoing monitoring of compliance, hearings into systemic issues</w:t>
      </w:r>
      <w:r w:rsidR="00690A0B" w:rsidRPr="003B663B">
        <w:rPr>
          <w:rFonts w:cs="Arial"/>
        </w:rPr>
        <w:t>, meaningful engagement with stakeholders</w:t>
      </w:r>
      <w:r w:rsidR="00B3616F" w:rsidRPr="003B663B">
        <w:rPr>
          <w:rFonts w:cs="Arial"/>
        </w:rPr>
        <w:t xml:space="preserve">, </w:t>
      </w:r>
      <w:r w:rsidR="00690A0B" w:rsidRPr="003B663B">
        <w:rPr>
          <w:rFonts w:cs="Arial"/>
        </w:rPr>
        <w:t>provisions for follow-up on concluding observations and implement</w:t>
      </w:r>
      <w:r w:rsidR="00B3616F" w:rsidRPr="003B663B">
        <w:rPr>
          <w:rFonts w:cs="Arial"/>
        </w:rPr>
        <w:t>ation of</w:t>
      </w:r>
      <w:r w:rsidR="00690A0B" w:rsidRPr="003B663B">
        <w:rPr>
          <w:rFonts w:cs="Arial"/>
        </w:rPr>
        <w:t xml:space="preserve"> </w:t>
      </w:r>
      <w:r w:rsidR="00B3616F" w:rsidRPr="003B663B">
        <w:rPr>
          <w:rFonts w:cs="Arial"/>
        </w:rPr>
        <w:t xml:space="preserve">decisions in optional protocol </w:t>
      </w:r>
      <w:r w:rsidR="00690A0B" w:rsidRPr="003B663B">
        <w:rPr>
          <w:rFonts w:cs="Arial"/>
        </w:rPr>
        <w:t>cases</w:t>
      </w:r>
      <w:r w:rsidR="00B3616F" w:rsidRPr="003B663B">
        <w:rPr>
          <w:rFonts w:cs="Arial"/>
        </w:rPr>
        <w:t>.</w:t>
      </w:r>
    </w:p>
    <w:p w14:paraId="7FB3F35C" w14:textId="77777777" w:rsidR="00065EC1" w:rsidRDefault="00065EC1" w:rsidP="00065EC1">
      <w:pPr>
        <w:rPr>
          <w:rFonts w:cs="Arial"/>
          <w:b/>
        </w:rPr>
      </w:pPr>
    </w:p>
    <w:p w14:paraId="358C1858" w14:textId="77777777" w:rsidR="00065EC1" w:rsidRPr="00C5478C" w:rsidRDefault="00065EC1" w:rsidP="00065EC1">
      <w:pPr>
        <w:ind w:right="-54"/>
        <w:rPr>
          <w:rFonts w:cs="Arial"/>
          <w:b/>
        </w:rPr>
      </w:pPr>
      <w:r>
        <w:rPr>
          <w:rFonts w:cs="Arial"/>
          <w:b/>
          <w:noProof/>
        </w:rPr>
        <mc:AlternateContent>
          <mc:Choice Requires="wps">
            <w:drawing>
              <wp:inline distT="0" distB="0" distL="0" distR="0" wp14:anchorId="5A8EAEA0" wp14:editId="6426E580">
                <wp:extent cx="6035040" cy="1874520"/>
                <wp:effectExtent l="0" t="0" r="60960" b="49530"/>
                <wp:docPr id="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87452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2DBFBA05" w14:textId="77777777" w:rsidR="00760C74" w:rsidRPr="00065EC1" w:rsidRDefault="00760C74" w:rsidP="009B7592">
                            <w:pPr>
                              <w:numPr>
                                <w:ilvl w:val="0"/>
                                <w:numId w:val="3"/>
                              </w:numPr>
                              <w:ind w:left="72" w:right="432"/>
                              <w:rPr>
                                <w:rFonts w:cs="Arial"/>
                                <w:b/>
                              </w:rPr>
                            </w:pPr>
                            <w:r>
                              <w:rPr>
                                <w:b/>
                                <w:bCs/>
                                <w:u w:val="single"/>
                              </w:rPr>
                              <w:t>Implementation Mechanisms</w:t>
                            </w:r>
                          </w:p>
                          <w:p w14:paraId="65193E3D" w14:textId="5065333F" w:rsidR="00760C74" w:rsidRPr="00B3616F" w:rsidRDefault="00266E97" w:rsidP="00B3616F">
                            <w:pPr>
                              <w:numPr>
                                <w:ilvl w:val="0"/>
                                <w:numId w:val="3"/>
                              </w:numPr>
                              <w:ind w:left="72" w:right="432"/>
                              <w:rPr>
                                <w:rFonts w:cs="Arial"/>
                                <w:b/>
                              </w:rPr>
                            </w:pPr>
                            <w:r>
                              <w:rPr>
                                <w:rFonts w:cs="Arial"/>
                                <w:b/>
                              </w:rPr>
                              <w:t>9</w:t>
                            </w:r>
                            <w:r w:rsidR="007D1F85">
                              <w:rPr>
                                <w:rFonts w:cs="Arial"/>
                                <w:b/>
                              </w:rPr>
                              <w:t xml:space="preserve">. </w:t>
                            </w:r>
                            <w:r w:rsidR="00760C74" w:rsidRPr="00690A0B">
                              <w:rPr>
                                <w:rFonts w:cs="Arial"/>
                                <w:b/>
                              </w:rPr>
                              <w:t xml:space="preserve">We recommend that the Committee request information regarding how the Government of Canada is implementing the commitment made at the 2017 FPT meeting on human rights, to enhance FPT collaboration through a senior level mechanism, to develop a protocol for following up on treaty body recommendations and to develop a stakeholder engagement strategy.   </w:t>
                            </w:r>
                            <w:r w:rsidR="00760C74">
                              <w:rPr>
                                <w:rFonts w:cs="Arial"/>
                                <w:b/>
                              </w:rPr>
                              <w:t xml:space="preserve">The Committee should ask </w:t>
                            </w:r>
                            <w:r w:rsidR="00760C74" w:rsidRPr="00B3616F">
                              <w:rPr>
                                <w:rFonts w:cs="Arial"/>
                                <w:b/>
                              </w:rPr>
                              <w:t>Canada if it would consider adopting legislation to provide for more adequate mechanisms through which to ensure</w:t>
                            </w:r>
                            <w:r w:rsidR="00760C74">
                              <w:rPr>
                                <w:rFonts w:cs="Arial"/>
                                <w:b/>
                              </w:rPr>
                              <w:t xml:space="preserve"> ongoing</w:t>
                            </w:r>
                            <w:r w:rsidR="00760C74" w:rsidRPr="00B3616F">
                              <w:rPr>
                                <w:rFonts w:cs="Arial"/>
                                <w:b/>
                              </w:rPr>
                              <w:t xml:space="preserve"> compliance with the Covenant</w:t>
                            </w:r>
                            <w:r w:rsidR="00760C74">
                              <w:rPr>
                                <w:rFonts w:cs="Arial"/>
                                <w:b/>
                              </w:rPr>
                              <w:t xml:space="preserve"> and</w:t>
                            </w:r>
                            <w:r w:rsidR="00760C74" w:rsidRPr="00B3616F">
                              <w:rPr>
                                <w:rFonts w:cs="Arial"/>
                                <w:b/>
                              </w:rPr>
                              <w:t xml:space="preserve"> to follow up on</w:t>
                            </w:r>
                            <w:r w:rsidR="00760C74">
                              <w:rPr>
                                <w:rFonts w:cs="Arial"/>
                                <w:b/>
                              </w:rPr>
                              <w:t xml:space="preserve"> concerns, recommendations or decisions under the Optional Protocol</w:t>
                            </w:r>
                            <w:r w:rsidR="00760C74" w:rsidRPr="00B3616F">
                              <w:rPr>
                                <w:rFonts w:cs="Arial"/>
                                <w:b/>
                              </w:rPr>
                              <w:t>.</w:t>
                            </w:r>
                          </w:p>
                        </w:txbxContent>
                      </wps:txbx>
                      <wps:bodyPr rot="0" vert="horz" wrap="square" lIns="91440" tIns="45720" rIns="91440" bIns="45720" anchor="t" anchorCtr="0" upright="1">
                        <a:noAutofit/>
                      </wps:bodyPr>
                    </wps:wsp>
                  </a:graphicData>
                </a:graphic>
              </wp:inline>
            </w:drawing>
          </mc:Choice>
          <mc:Fallback>
            <w:pict>
              <v:shape w14:anchorId="5A8EAEA0" id="_x0000_s1034" type="#_x0000_t202" style="width:475.2pt;height:1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" fillcolor="#f2f2f2">
                <v:shadow on="t"/>
                <v:textbox>
                  <w:txbxContent>
                    <w:p w14:paraId="2DBFBA05" w14:textId="77777777" w:rsidR="00760C74" w:rsidRPr="00065EC1" w:rsidRDefault="00760C74" w:rsidP="009B7592">
                      <w:pPr>
                        <w:numPr>
                          <w:ilvl w:val="0"/>
                          <w:numId w:val="3"/>
                        </w:numPr>
                        <w:ind w:left="72" w:right="432"/>
                        <w:rPr>
                          <w:rFonts w:cs="Arial"/>
                          <w:b/>
                        </w:rPr>
                      </w:pPr>
                      <w:r>
                        <w:rPr>
                          <w:b/>
                          <w:bCs/>
                          <w:u w:val="single"/>
                        </w:rPr>
                        <w:t>Implementation Mechanisms</w:t>
                      </w:r>
                    </w:p>
                    <w:p w14:paraId="65193E3D" w14:textId="5065333F" w:rsidR="00760C74" w:rsidRPr="00B3616F" w:rsidRDefault="00266E97" w:rsidP="00B3616F">
                      <w:pPr>
                        <w:numPr>
                          <w:ilvl w:val="0"/>
                          <w:numId w:val="3"/>
                        </w:numPr>
                        <w:ind w:left="72" w:right="432"/>
                        <w:rPr>
                          <w:rFonts w:cs="Arial"/>
                          <w:b/>
                        </w:rPr>
                      </w:pPr>
                      <w:r>
                        <w:rPr>
                          <w:rFonts w:cs="Arial"/>
                          <w:b/>
                        </w:rPr>
                        <w:t>9</w:t>
                      </w:r>
                      <w:r w:rsidR="007D1F85">
                        <w:rPr>
                          <w:rFonts w:cs="Arial"/>
                          <w:b/>
                        </w:rPr>
                        <w:t xml:space="preserve">. </w:t>
                      </w:r>
                      <w:r w:rsidR="00760C74" w:rsidRPr="00690A0B">
                        <w:rPr>
                          <w:rFonts w:cs="Arial"/>
                          <w:b/>
                        </w:rPr>
                        <w:t xml:space="preserve">We recommend that the Committee request information regarding how the Government of Canada is implementing the commitment made at the 2017 FPT meeting on human rights, to enhance FPT collaboration through a senior level mechanism, to develop a protocol for following up on treaty body recommendations and to develop a stakeholder engagement strategy.   </w:t>
                      </w:r>
                      <w:r w:rsidR="00760C74">
                        <w:rPr>
                          <w:rFonts w:cs="Arial"/>
                          <w:b/>
                        </w:rPr>
                        <w:t xml:space="preserve">The Committee should ask </w:t>
                      </w:r>
                      <w:r w:rsidR="00760C74" w:rsidRPr="00B3616F">
                        <w:rPr>
                          <w:rFonts w:cs="Arial"/>
                          <w:b/>
                        </w:rPr>
                        <w:t>Canada if it would consider adopting legislation to provide for more adequate mechanisms through which to ensure</w:t>
                      </w:r>
                      <w:r w:rsidR="00760C74">
                        <w:rPr>
                          <w:rFonts w:cs="Arial"/>
                          <w:b/>
                        </w:rPr>
                        <w:t xml:space="preserve"> ongoing</w:t>
                      </w:r>
                      <w:r w:rsidR="00760C74" w:rsidRPr="00B3616F">
                        <w:rPr>
                          <w:rFonts w:cs="Arial"/>
                          <w:b/>
                        </w:rPr>
                        <w:t xml:space="preserve"> compliance with the Covenant</w:t>
                      </w:r>
                      <w:r w:rsidR="00760C74">
                        <w:rPr>
                          <w:rFonts w:cs="Arial"/>
                          <w:b/>
                        </w:rPr>
                        <w:t xml:space="preserve"> and</w:t>
                      </w:r>
                      <w:r w:rsidR="00760C74" w:rsidRPr="00B3616F">
                        <w:rPr>
                          <w:rFonts w:cs="Arial"/>
                          <w:b/>
                        </w:rPr>
                        <w:t xml:space="preserve"> to follow up on</w:t>
                      </w:r>
                      <w:r w:rsidR="00760C74">
                        <w:rPr>
                          <w:rFonts w:cs="Arial"/>
                          <w:b/>
                        </w:rPr>
                        <w:t xml:space="preserve"> concerns, recommendations or decisions under the Optional Protocol</w:t>
                      </w:r>
                      <w:r w:rsidR="00760C74" w:rsidRPr="00B3616F">
                        <w:rPr>
                          <w:rFonts w:cs="Arial"/>
                          <w:b/>
                        </w:rPr>
                        <w:t>.</w:t>
                      </w:r>
                    </w:p>
                  </w:txbxContent>
                </v:textbox>
                <w10:anchorlock/>
              </v:shape>
            </w:pict>
          </mc:Fallback>
        </mc:AlternateContent>
      </w:r>
    </w:p>
    <w:p w14:paraId="61895303" w14:textId="00E9E6C3" w:rsidR="00BF2D5B" w:rsidRPr="0075491E" w:rsidRDefault="00BF2D5B" w:rsidP="0075491E">
      <w:pPr>
        <w:pStyle w:val="Heading2"/>
        <w:numPr>
          <w:ilvl w:val="0"/>
          <w:numId w:val="22"/>
        </w:numPr>
        <w:rPr>
          <w:color w:val="0070C0"/>
          <w:sz w:val="24"/>
          <w:szCs w:val="24"/>
        </w:rPr>
      </w:pPr>
      <w:bookmarkStart w:id="43" w:name="_Toc32279509"/>
      <w:bookmarkStart w:id="44" w:name="_Toc115198229"/>
      <w:r w:rsidRPr="0075491E">
        <w:rPr>
          <w:color w:val="0070C0"/>
          <w:sz w:val="24"/>
          <w:szCs w:val="24"/>
        </w:rPr>
        <w:t>Ensuring Access to Effective Systemic Remedies Through Rights Based Strategies</w:t>
      </w:r>
      <w:bookmarkEnd w:id="43"/>
      <w:bookmarkEnd w:id="44"/>
    </w:p>
    <w:p w14:paraId="28466D0E" w14:textId="77777777" w:rsidR="003B663B" w:rsidRPr="003B663B" w:rsidRDefault="003B663B" w:rsidP="003B663B"/>
    <w:p w14:paraId="3BA437AB" w14:textId="133B146E" w:rsidR="002B045D" w:rsidRPr="00334353" w:rsidRDefault="0077779F" w:rsidP="0077779F">
      <w:pPr>
        <w:numPr>
          <w:ilvl w:val="0"/>
          <w:numId w:val="2"/>
        </w:numPr>
        <w:rPr>
          <w:rFonts w:cs="Arial"/>
        </w:rPr>
      </w:pPr>
      <w:r w:rsidRPr="003B663B">
        <w:rPr>
          <w:rFonts w:cs="Arial"/>
        </w:rPr>
        <w:t xml:space="preserve">An important positive development in access to justice </w:t>
      </w:r>
      <w:r w:rsidR="00585D93" w:rsidRPr="003B663B">
        <w:rPr>
          <w:rFonts w:cs="Arial"/>
        </w:rPr>
        <w:t xml:space="preserve">was </w:t>
      </w:r>
      <w:r w:rsidRPr="003B663B">
        <w:rPr>
          <w:rFonts w:cs="Arial"/>
        </w:rPr>
        <w:t xml:space="preserve">the passing </w:t>
      </w:r>
      <w:r w:rsidR="003B663B">
        <w:rPr>
          <w:rFonts w:cs="Arial"/>
        </w:rPr>
        <w:t xml:space="preserve">of the </w:t>
      </w:r>
      <w:hyperlink r:id="rId15" w:history="1">
        <w:r w:rsidRPr="003B663B">
          <w:rPr>
            <w:rStyle w:val="Hyperlink"/>
            <w:rFonts w:cs="Arial"/>
            <w:i/>
            <w:iCs/>
          </w:rPr>
          <w:t>National Housing Strategy Act</w:t>
        </w:r>
        <w:r w:rsidR="002B045D" w:rsidRPr="003B663B">
          <w:rPr>
            <w:rStyle w:val="Hyperlink"/>
            <w:rFonts w:cs="Arial"/>
            <w:i/>
            <w:iCs/>
          </w:rPr>
          <w:t xml:space="preserve"> (2019)</w:t>
        </w:r>
        <w:r w:rsidRPr="003B663B">
          <w:rPr>
            <w:rStyle w:val="Hyperlink"/>
            <w:rFonts w:cs="Arial"/>
          </w:rPr>
          <w:t xml:space="preserve"> (</w:t>
        </w:r>
        <w:r w:rsidRPr="003B663B">
          <w:rPr>
            <w:rStyle w:val="Hyperlink"/>
            <w:rFonts w:cs="Arial"/>
            <w:i/>
            <w:iCs/>
          </w:rPr>
          <w:t>NHS Act</w:t>
        </w:r>
        <w:r w:rsidRPr="003B663B">
          <w:rPr>
            <w:rStyle w:val="Hyperlink"/>
            <w:rFonts w:cs="Arial"/>
          </w:rPr>
          <w:t>.</w:t>
        </w:r>
      </w:hyperlink>
      <w:r w:rsidRPr="003B663B">
        <w:rPr>
          <w:rFonts w:cs="Arial"/>
        </w:rPr>
        <w:t xml:space="preserve">) </w:t>
      </w:r>
      <w:r w:rsidR="003C6E18" w:rsidRPr="003B663B">
        <w:rPr>
          <w:rFonts w:cs="Arial"/>
        </w:rPr>
        <w:t xml:space="preserve"> A</w:t>
      </w:r>
      <w:r w:rsidRPr="003B663B">
        <w:rPr>
          <w:rFonts w:cs="Arial"/>
        </w:rPr>
        <w:t xml:space="preserve">s described in the submissions of the National Right to Housing Network, </w:t>
      </w:r>
      <w:r w:rsidR="003C6E18" w:rsidRPr="003B663B">
        <w:rPr>
          <w:rFonts w:cs="Arial"/>
        </w:rPr>
        <w:t>the NHS Act affirms</w:t>
      </w:r>
      <w:r w:rsidR="003B663B">
        <w:rPr>
          <w:rFonts w:cs="Arial"/>
        </w:rPr>
        <w:t>,</w:t>
      </w:r>
      <w:r w:rsidR="003C6E18" w:rsidRPr="003B663B">
        <w:rPr>
          <w:rFonts w:cs="Arial"/>
        </w:rPr>
        <w:t xml:space="preserve"> for </w:t>
      </w:r>
      <w:r w:rsidRPr="003B663B">
        <w:rPr>
          <w:rFonts w:cs="Arial"/>
        </w:rPr>
        <w:t>the first time in Canadian law, that</w:t>
      </w:r>
      <w:r w:rsidR="003B663B">
        <w:rPr>
          <w:rFonts w:cs="Arial"/>
        </w:rPr>
        <w:t xml:space="preserve"> the Canadian government recognizes</w:t>
      </w:r>
      <w:r w:rsidRPr="003B663B">
        <w:rPr>
          <w:rFonts w:cs="Arial"/>
        </w:rPr>
        <w:t xml:space="preserve"> the right to housing is a fundamental</w:t>
      </w:r>
      <w:r w:rsidR="00585D93" w:rsidRPr="003B663B">
        <w:rPr>
          <w:rFonts w:cs="Arial"/>
        </w:rPr>
        <w:t xml:space="preserve"> human</w:t>
      </w:r>
      <w:r w:rsidRPr="003B663B">
        <w:rPr>
          <w:rFonts w:cs="Arial"/>
        </w:rPr>
        <w:t xml:space="preserve"> right</w:t>
      </w:r>
      <w:r w:rsidR="003C6E18" w:rsidRPr="003B663B">
        <w:rPr>
          <w:rFonts w:cs="Arial"/>
        </w:rPr>
        <w:t xml:space="preserve"> and commits to its progressive realization</w:t>
      </w:r>
      <w:r w:rsidRPr="003B663B">
        <w:rPr>
          <w:rFonts w:cs="Arial"/>
        </w:rPr>
        <w:t xml:space="preserve">.  While </w:t>
      </w:r>
      <w:r w:rsidR="003C6E18" w:rsidRPr="003B663B">
        <w:rPr>
          <w:rFonts w:cs="Arial"/>
        </w:rPr>
        <w:t xml:space="preserve">the </w:t>
      </w:r>
      <w:r w:rsidR="003C6E18" w:rsidRPr="003B663B">
        <w:rPr>
          <w:rFonts w:cs="Arial"/>
          <w:i/>
          <w:iCs/>
        </w:rPr>
        <w:t>NHS Act</w:t>
      </w:r>
      <w:r w:rsidRPr="003B663B">
        <w:rPr>
          <w:rFonts w:cs="Arial"/>
        </w:rPr>
        <w:t xml:space="preserve"> </w:t>
      </w:r>
      <w:r w:rsidR="00585D93" w:rsidRPr="003B663B">
        <w:rPr>
          <w:rFonts w:cs="Arial"/>
        </w:rPr>
        <w:t xml:space="preserve">includes </w:t>
      </w:r>
      <w:proofErr w:type="gramStart"/>
      <w:r w:rsidR="00585D93" w:rsidRPr="003B663B">
        <w:rPr>
          <w:rFonts w:cs="Arial"/>
        </w:rPr>
        <w:t>all of</w:t>
      </w:r>
      <w:proofErr w:type="gramEnd"/>
      <w:r w:rsidR="00585D93" w:rsidRPr="003B663B">
        <w:rPr>
          <w:rFonts w:cs="Arial"/>
        </w:rPr>
        <w:t xml:space="preserve"> the components previously identified by the CESCR as </w:t>
      </w:r>
      <w:r w:rsidR="003B663B">
        <w:rPr>
          <w:rFonts w:cs="Arial"/>
        </w:rPr>
        <w:t xml:space="preserve">components of </w:t>
      </w:r>
      <w:r w:rsidR="00585D93" w:rsidRPr="003B663B">
        <w:rPr>
          <w:rFonts w:cs="Arial"/>
        </w:rPr>
        <w:t xml:space="preserve">a rights-based strategy (goals and timelines, independent monitoring, complaints procedure with access to hearings, provision for remedial responses). </w:t>
      </w:r>
      <w:r w:rsidR="003C6E18" w:rsidRPr="003B663B">
        <w:rPr>
          <w:rFonts w:cs="Arial"/>
        </w:rPr>
        <w:t xml:space="preserve"> A</w:t>
      </w:r>
      <w:r w:rsidRPr="003B663B">
        <w:rPr>
          <w:rFonts w:cs="Arial"/>
        </w:rPr>
        <w:t xml:space="preserve">ffected groups can make submissions regarding systemic issues to </w:t>
      </w:r>
      <w:r w:rsidR="003C6E18" w:rsidRPr="003B663B">
        <w:rPr>
          <w:rFonts w:cs="Arial"/>
        </w:rPr>
        <w:t>the Federal</w:t>
      </w:r>
      <w:r w:rsidRPr="003B663B">
        <w:rPr>
          <w:rFonts w:cs="Arial"/>
        </w:rPr>
        <w:t xml:space="preserve"> Housing Advocate and </w:t>
      </w:r>
      <w:r w:rsidR="003C6E18" w:rsidRPr="003B663B">
        <w:rPr>
          <w:rFonts w:cs="Arial"/>
        </w:rPr>
        <w:t xml:space="preserve">selective </w:t>
      </w:r>
      <w:r w:rsidR="003B663B">
        <w:rPr>
          <w:rFonts w:cs="Arial"/>
        </w:rPr>
        <w:t xml:space="preserve">systemic </w:t>
      </w:r>
      <w:r w:rsidR="003C6E18" w:rsidRPr="003B663B">
        <w:rPr>
          <w:rFonts w:cs="Arial"/>
        </w:rPr>
        <w:t xml:space="preserve">issues </w:t>
      </w:r>
      <w:r w:rsidR="003B663B">
        <w:rPr>
          <w:rFonts w:cs="Arial"/>
        </w:rPr>
        <w:t xml:space="preserve">are </w:t>
      </w:r>
      <w:r w:rsidR="003C6E18" w:rsidRPr="003B663B">
        <w:rPr>
          <w:rFonts w:cs="Arial"/>
        </w:rPr>
        <w:t>referred to a</w:t>
      </w:r>
      <w:r w:rsidRPr="003B663B">
        <w:rPr>
          <w:rFonts w:cs="Arial"/>
        </w:rPr>
        <w:t xml:space="preserve"> Review Panel</w:t>
      </w:r>
      <w:r w:rsidR="003C6E18" w:rsidRPr="003B663B">
        <w:rPr>
          <w:rFonts w:cs="Arial"/>
        </w:rPr>
        <w:t xml:space="preserve"> for hearings</w:t>
      </w:r>
      <w:r w:rsidRPr="003B663B">
        <w:rPr>
          <w:rFonts w:cs="Arial"/>
        </w:rPr>
        <w:t>.  The government must respond</w:t>
      </w:r>
      <w:r w:rsidR="00585D93" w:rsidRPr="003B663B">
        <w:rPr>
          <w:rFonts w:cs="Arial"/>
        </w:rPr>
        <w:t xml:space="preserve"> </w:t>
      </w:r>
      <w:r w:rsidRPr="003B663B">
        <w:rPr>
          <w:rFonts w:cs="Arial"/>
        </w:rPr>
        <w:t xml:space="preserve">to any remedial recommendations within 120 days. </w:t>
      </w:r>
      <w:r w:rsidR="003C6E18" w:rsidRPr="003B663B">
        <w:rPr>
          <w:rFonts w:cs="Arial"/>
        </w:rPr>
        <w:t xml:space="preserve"> </w:t>
      </w:r>
      <w:r w:rsidR="003B663B">
        <w:rPr>
          <w:rFonts w:cs="Arial"/>
        </w:rPr>
        <w:t>The NHS Act does not provide for judicial remedies, but t</w:t>
      </w:r>
      <w:r w:rsidRPr="003B663B">
        <w:rPr>
          <w:rFonts w:cs="Arial"/>
        </w:rPr>
        <w:t xml:space="preserve">he </w:t>
      </w:r>
      <w:r w:rsidR="003B663B">
        <w:rPr>
          <w:rFonts w:cs="Arial"/>
        </w:rPr>
        <w:t xml:space="preserve">alternative </w:t>
      </w:r>
      <w:r w:rsidRPr="003B663B">
        <w:rPr>
          <w:rFonts w:cs="Arial"/>
        </w:rPr>
        <w:t xml:space="preserve">accountability mechanisms </w:t>
      </w:r>
      <w:r w:rsidR="003B663B">
        <w:rPr>
          <w:rFonts w:cs="Arial"/>
        </w:rPr>
        <w:t xml:space="preserve">provided for </w:t>
      </w:r>
      <w:r w:rsidRPr="003B663B">
        <w:rPr>
          <w:rFonts w:cs="Arial"/>
        </w:rPr>
        <w:t>should complement and reinforce access to judicial remedies under the Canadian Charter and should not be considered a substitute for such remedies.</w:t>
      </w:r>
    </w:p>
    <w:p w14:paraId="5937F86B" w14:textId="77777777" w:rsidR="002B045D" w:rsidRPr="00C5478C" w:rsidRDefault="002B045D" w:rsidP="002B045D">
      <w:pPr>
        <w:ind w:right="-54"/>
        <w:rPr>
          <w:rFonts w:cs="Arial"/>
          <w:b/>
        </w:rPr>
      </w:pPr>
      <w:r>
        <w:rPr>
          <w:rFonts w:cs="Arial"/>
          <w:b/>
          <w:noProof/>
        </w:rPr>
        <mc:AlternateContent>
          <mc:Choice Requires="wps">
            <w:drawing>
              <wp:inline distT="0" distB="0" distL="0" distR="0" wp14:anchorId="298BB821" wp14:editId="06E9D138">
                <wp:extent cx="6035040" cy="2042160"/>
                <wp:effectExtent l="0" t="0" r="60960" b="53340"/>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04216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4D8656AA" w14:textId="2744FD3F" w:rsidR="007D1F85" w:rsidRDefault="007D1F85" w:rsidP="002B045D">
                            <w:pPr>
                              <w:ind w:right="432"/>
                              <w:rPr>
                                <w:b/>
                                <w:bCs/>
                                <w:u w:val="single"/>
                              </w:rPr>
                            </w:pPr>
                            <w:r>
                              <w:rPr>
                                <w:b/>
                                <w:bCs/>
                                <w:u w:val="single"/>
                              </w:rPr>
                              <w:t>Access to Justice through legislated rights-based strategies</w:t>
                            </w:r>
                          </w:p>
                          <w:p w14:paraId="13DAD0A5" w14:textId="6F2A0084" w:rsidR="00760C74" w:rsidRPr="00715BF4" w:rsidRDefault="00266E97" w:rsidP="002B045D">
                            <w:pPr>
                              <w:ind w:right="432"/>
                              <w:rPr>
                                <w:rFonts w:cs="Arial"/>
                                <w:b/>
                              </w:rPr>
                            </w:pPr>
                            <w:r>
                              <w:rPr>
                                <w:rFonts w:cs="Arial"/>
                                <w:b/>
                              </w:rPr>
                              <w:t>10</w:t>
                            </w:r>
                            <w:r w:rsidR="007D1F85">
                              <w:rPr>
                                <w:rFonts w:cs="Arial"/>
                                <w:b/>
                              </w:rPr>
                              <w:t xml:space="preserve">. </w:t>
                            </w:r>
                            <w:r w:rsidR="00334353">
                              <w:rPr>
                                <w:rFonts w:cs="Arial"/>
                                <w:b/>
                              </w:rPr>
                              <w:t xml:space="preserve">The </w:t>
                            </w:r>
                            <w:r w:rsidR="00760C74">
                              <w:rPr>
                                <w:rFonts w:cs="Arial"/>
                                <w:b/>
                              </w:rPr>
                              <w:t xml:space="preserve">NHS Act </w:t>
                            </w:r>
                            <w:r w:rsidR="00334353">
                              <w:rPr>
                                <w:rFonts w:cs="Arial"/>
                                <w:b/>
                              </w:rPr>
                              <w:t xml:space="preserve">should be recognized </w:t>
                            </w:r>
                            <w:r w:rsidR="00760C74">
                              <w:rPr>
                                <w:rFonts w:cs="Arial"/>
                                <w:b/>
                              </w:rPr>
                              <w:t>as a very positive advance in the implementation of the ICESCR within federal jurisdiction.  We recommend that Canada be asked to provide information about co-ordination of goals and timelines and other commitments with provinces and territories, and about whether each province and territory plans to</w:t>
                            </w:r>
                            <w:r w:rsidR="00334353">
                              <w:rPr>
                                <w:rFonts w:cs="Arial"/>
                                <w:b/>
                              </w:rPr>
                              <w:t xml:space="preserve"> adopt</w:t>
                            </w:r>
                            <w:r w:rsidR="00760C74">
                              <w:rPr>
                                <w:rFonts w:cs="Arial"/>
                                <w:b/>
                              </w:rPr>
                              <w:t>, or has adopted, similar legislation to ensure accountability to the right to housing</w:t>
                            </w:r>
                            <w:r w:rsidR="00334353">
                              <w:rPr>
                                <w:rFonts w:cs="Arial"/>
                                <w:b/>
                              </w:rPr>
                              <w:t xml:space="preserve"> or other ESC rights</w:t>
                            </w:r>
                            <w:r w:rsidR="00760C74">
                              <w:rPr>
                                <w:rFonts w:cs="Arial"/>
                                <w:b/>
                              </w:rPr>
                              <w:t xml:space="preserve">.  The Committee </w:t>
                            </w:r>
                            <w:r w:rsidR="00334353">
                              <w:rPr>
                                <w:rFonts w:cs="Arial"/>
                                <w:b/>
                              </w:rPr>
                              <w:t>sh</w:t>
                            </w:r>
                            <w:r w:rsidR="00760C74">
                              <w:rPr>
                                <w:rFonts w:cs="Arial"/>
                                <w:b/>
                              </w:rPr>
                              <w:t xml:space="preserve">ould also </w:t>
                            </w:r>
                            <w:r w:rsidR="00334353">
                              <w:rPr>
                                <w:rFonts w:cs="Arial"/>
                                <w:b/>
                              </w:rPr>
                              <w:t xml:space="preserve">inquire </w:t>
                            </w:r>
                            <w:r w:rsidR="00760C74">
                              <w:rPr>
                                <w:rFonts w:cs="Arial"/>
                                <w:b/>
                              </w:rPr>
                              <w:t xml:space="preserve">whether Canada intends to adopt similar legislation to implement the right to food security, the right to social security/freedom from poverty, the </w:t>
                            </w:r>
                            <w:r w:rsidR="00760C74">
                              <w:rPr>
                                <w:rFonts w:cs="Arial"/>
                                <w:b/>
                              </w:rPr>
                              <w:t xml:space="preserve">right  to education and other Covenant rights. </w:t>
                            </w:r>
                          </w:p>
                        </w:txbxContent>
                      </wps:txbx>
                      <wps:bodyPr rot="0" vert="horz" wrap="square" lIns="91440" tIns="45720" rIns="91440" bIns="45720" anchor="t" anchorCtr="0" upright="1">
                        <a:noAutofit/>
                      </wps:bodyPr>
                    </wps:wsp>
                  </a:graphicData>
                </a:graphic>
              </wp:inline>
            </w:drawing>
          </mc:Choice>
          <mc:Fallback>
            <w:pict>
              <v:shape w14:anchorId="298BB821" id="_x0000_s1035" type="#_x0000_t202" style="width:475.2pt;height:1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" fillcolor="#f2f2f2">
                <v:shadow on="t"/>
                <v:textbox>
                  <w:txbxContent>
                    <w:p w14:paraId="4D8656AA" w14:textId="2744FD3F" w:rsidR="007D1F85" w:rsidRDefault="007D1F85" w:rsidP="002B045D">
                      <w:pPr>
                        <w:ind w:right="432"/>
                        <w:rPr>
                          <w:b/>
                          <w:bCs/>
                          <w:u w:val="single"/>
                        </w:rPr>
                      </w:pPr>
                      <w:r>
                        <w:rPr>
                          <w:b/>
                          <w:bCs/>
                          <w:u w:val="single"/>
                        </w:rPr>
                        <w:t>Access to Justice through legislated rights-based strategies</w:t>
                      </w:r>
                    </w:p>
                    <w:p w14:paraId="13DAD0A5" w14:textId="6F2A0084" w:rsidR="00760C74" w:rsidRPr="00715BF4" w:rsidRDefault="00266E97" w:rsidP="002B045D">
                      <w:pPr>
                        <w:ind w:right="432"/>
                        <w:rPr>
                          <w:rFonts w:cs="Arial"/>
                          <w:b/>
                        </w:rPr>
                      </w:pPr>
                      <w:r>
                        <w:rPr>
                          <w:rFonts w:cs="Arial"/>
                          <w:b/>
                        </w:rPr>
                        <w:t>10</w:t>
                      </w:r>
                      <w:r w:rsidR="007D1F85">
                        <w:rPr>
                          <w:rFonts w:cs="Arial"/>
                          <w:b/>
                        </w:rPr>
                        <w:t xml:space="preserve">. </w:t>
                      </w:r>
                      <w:r w:rsidR="00334353">
                        <w:rPr>
                          <w:rFonts w:cs="Arial"/>
                          <w:b/>
                        </w:rPr>
                        <w:t xml:space="preserve">The </w:t>
                      </w:r>
                      <w:r w:rsidR="00760C74">
                        <w:rPr>
                          <w:rFonts w:cs="Arial"/>
                          <w:b/>
                        </w:rPr>
                        <w:t xml:space="preserve">NHS Act </w:t>
                      </w:r>
                      <w:r w:rsidR="00334353">
                        <w:rPr>
                          <w:rFonts w:cs="Arial"/>
                          <w:b/>
                        </w:rPr>
                        <w:t xml:space="preserve">should be recognized </w:t>
                      </w:r>
                      <w:r w:rsidR="00760C74">
                        <w:rPr>
                          <w:rFonts w:cs="Arial"/>
                          <w:b/>
                        </w:rPr>
                        <w:t>as a very positive advance in the implementation of the ICESCR within federal jurisdiction.  We recommend that Canada be asked to provide information about co-ordination of goals and timelines and other commitments with provinces and territories, and about whether each province and territory plans to</w:t>
                      </w:r>
                      <w:r w:rsidR="00334353">
                        <w:rPr>
                          <w:rFonts w:cs="Arial"/>
                          <w:b/>
                        </w:rPr>
                        <w:t xml:space="preserve"> adopt</w:t>
                      </w:r>
                      <w:r w:rsidR="00760C74">
                        <w:rPr>
                          <w:rFonts w:cs="Arial"/>
                          <w:b/>
                        </w:rPr>
                        <w:t>, or has adopted, similar legislation to ensure accountability to the right to housing</w:t>
                      </w:r>
                      <w:r w:rsidR="00334353">
                        <w:rPr>
                          <w:rFonts w:cs="Arial"/>
                          <w:b/>
                        </w:rPr>
                        <w:t xml:space="preserve"> or other ESC rights</w:t>
                      </w:r>
                      <w:r w:rsidR="00760C74">
                        <w:rPr>
                          <w:rFonts w:cs="Arial"/>
                          <w:b/>
                        </w:rPr>
                        <w:t xml:space="preserve">.  The Committee </w:t>
                      </w:r>
                      <w:r w:rsidR="00334353">
                        <w:rPr>
                          <w:rFonts w:cs="Arial"/>
                          <w:b/>
                        </w:rPr>
                        <w:t>sh</w:t>
                      </w:r>
                      <w:r w:rsidR="00760C74">
                        <w:rPr>
                          <w:rFonts w:cs="Arial"/>
                          <w:b/>
                        </w:rPr>
                        <w:t xml:space="preserve">ould also </w:t>
                      </w:r>
                      <w:r w:rsidR="00334353">
                        <w:rPr>
                          <w:rFonts w:cs="Arial"/>
                          <w:b/>
                        </w:rPr>
                        <w:t xml:space="preserve">inquire </w:t>
                      </w:r>
                      <w:r w:rsidR="00760C74">
                        <w:rPr>
                          <w:rFonts w:cs="Arial"/>
                          <w:b/>
                        </w:rPr>
                        <w:t xml:space="preserve">whether Canada intends to adopt similar legislation to implement the right to food security, the right to social security/freedom from poverty, the </w:t>
                      </w:r>
                      <w:r w:rsidR="00760C74">
                        <w:rPr>
                          <w:rFonts w:cs="Arial"/>
                          <w:b/>
                        </w:rPr>
                        <w:t xml:space="preserve">right  to education and other Covenant rights. </w:t>
                      </w:r>
                    </w:p>
                  </w:txbxContent>
                </v:textbox>
                <w10:anchorlock/>
              </v:shape>
            </w:pict>
          </mc:Fallback>
        </mc:AlternateContent>
      </w:r>
    </w:p>
    <w:p w14:paraId="5342177B" w14:textId="77777777" w:rsidR="002B045D" w:rsidRDefault="002B045D" w:rsidP="002B045D">
      <w:pPr>
        <w:rPr>
          <w:rFonts w:cs="Arial"/>
          <w:b/>
          <w:bCs/>
          <w:u w:val="single"/>
        </w:rPr>
      </w:pPr>
    </w:p>
    <w:p w14:paraId="753F7010" w14:textId="57F67D00" w:rsidR="005F27AA" w:rsidRPr="0075491E" w:rsidRDefault="005F27AA" w:rsidP="0075491E">
      <w:pPr>
        <w:pStyle w:val="Heading2"/>
        <w:numPr>
          <w:ilvl w:val="0"/>
          <w:numId w:val="22"/>
        </w:numPr>
        <w:rPr>
          <w:color w:val="0070C0"/>
          <w:sz w:val="24"/>
          <w:szCs w:val="24"/>
        </w:rPr>
      </w:pPr>
      <w:bookmarkStart w:id="45" w:name="_Toc32279510"/>
      <w:bookmarkStart w:id="46" w:name="_Toc442138314"/>
      <w:bookmarkStart w:id="47" w:name="_Toc442138350"/>
      <w:bookmarkStart w:id="48" w:name="_Toc115198230"/>
      <w:r w:rsidRPr="0075491E">
        <w:rPr>
          <w:color w:val="0070C0"/>
          <w:sz w:val="24"/>
          <w:szCs w:val="24"/>
        </w:rPr>
        <w:t xml:space="preserve">Inter-Governmental </w:t>
      </w:r>
      <w:r w:rsidR="00C4262C" w:rsidRPr="0075491E">
        <w:rPr>
          <w:color w:val="0070C0"/>
          <w:sz w:val="24"/>
          <w:szCs w:val="24"/>
        </w:rPr>
        <w:t xml:space="preserve">Framework </w:t>
      </w:r>
      <w:r w:rsidRPr="0075491E">
        <w:rPr>
          <w:color w:val="0070C0"/>
          <w:sz w:val="24"/>
          <w:szCs w:val="24"/>
        </w:rPr>
        <w:t xml:space="preserve">Agreement </w:t>
      </w:r>
      <w:r w:rsidR="00C4262C" w:rsidRPr="0075491E">
        <w:rPr>
          <w:color w:val="0070C0"/>
          <w:sz w:val="24"/>
          <w:szCs w:val="24"/>
        </w:rPr>
        <w:t>to Guarantee ESC rights</w:t>
      </w:r>
      <w:bookmarkEnd w:id="45"/>
      <w:bookmarkEnd w:id="48"/>
      <w:r w:rsidR="00C4262C" w:rsidRPr="0075491E">
        <w:rPr>
          <w:color w:val="0070C0"/>
          <w:sz w:val="24"/>
          <w:szCs w:val="24"/>
        </w:rPr>
        <w:t xml:space="preserve"> </w:t>
      </w:r>
      <w:bookmarkEnd w:id="46"/>
      <w:bookmarkEnd w:id="47"/>
    </w:p>
    <w:p w14:paraId="758A5BF3" w14:textId="77777777" w:rsidR="00C4262C" w:rsidRPr="00C4262C" w:rsidRDefault="00C4262C" w:rsidP="00C4262C"/>
    <w:p w14:paraId="3591BBFA" w14:textId="77777777" w:rsidR="00334353" w:rsidRDefault="005F27AA" w:rsidP="00334353">
      <w:pPr>
        <w:numPr>
          <w:ilvl w:val="0"/>
          <w:numId w:val="2"/>
        </w:numPr>
        <w:rPr>
          <w:rFonts w:cs="Arial"/>
        </w:rPr>
      </w:pPr>
      <w:r w:rsidRPr="0072310C">
        <w:rPr>
          <w:rFonts w:cs="Arial"/>
        </w:rPr>
        <w:t xml:space="preserve">During the last round of constitutional negotiations in 1992, a </w:t>
      </w:r>
      <w:hyperlink r:id="rId16" w:history="1">
        <w:r w:rsidRPr="00334353">
          <w:rPr>
            <w:rStyle w:val="Hyperlink"/>
            <w:rFonts w:cs="Arial"/>
          </w:rPr>
          <w:t>social charter</w:t>
        </w:r>
      </w:hyperlink>
      <w:r w:rsidRPr="0072310C">
        <w:rPr>
          <w:rFonts w:cs="Arial"/>
        </w:rPr>
        <w:t xml:space="preserve"> was proposed and endorsed by over forty national organizations as a means to provide enhanced accountability for ESC rights within the context of a renewed federalism.  There has been little appetite for constitutional reform in Canada since</w:t>
      </w:r>
      <w:r>
        <w:rPr>
          <w:rFonts w:cs="Arial"/>
        </w:rPr>
        <w:t xml:space="preserve"> that time and such reform is not on the agenda at present</w:t>
      </w:r>
      <w:r w:rsidRPr="0072310C">
        <w:rPr>
          <w:rFonts w:cs="Arial"/>
        </w:rPr>
        <w:t xml:space="preserve">.  However, a social charter </w:t>
      </w:r>
      <w:r w:rsidR="00334353">
        <w:rPr>
          <w:rFonts w:cs="Arial"/>
        </w:rPr>
        <w:t xml:space="preserve">along the same lines </w:t>
      </w:r>
      <w:r w:rsidRPr="0072310C">
        <w:rPr>
          <w:rFonts w:cs="Arial"/>
        </w:rPr>
        <w:t>could be enacted through</w:t>
      </w:r>
      <w:r w:rsidR="00334353">
        <w:rPr>
          <w:rFonts w:cs="Arial"/>
        </w:rPr>
        <w:t xml:space="preserve"> legislation and</w:t>
      </w:r>
      <w:r w:rsidRPr="0072310C">
        <w:rPr>
          <w:rFonts w:cs="Arial"/>
        </w:rPr>
        <w:t xml:space="preserve"> inter-governmental agreements, without constitutional amendment, built on the joint constitutional commitments in section 36 of the Constitution Act 1982 and the obligations of all governments in Canada under the ICESCR</w:t>
      </w:r>
      <w:r>
        <w:rPr>
          <w:rFonts w:cs="Arial"/>
        </w:rPr>
        <w:t xml:space="preserve"> and other international human rights law</w:t>
      </w:r>
      <w:r w:rsidRPr="0072310C">
        <w:rPr>
          <w:rFonts w:cs="Arial"/>
        </w:rPr>
        <w:t>.</w:t>
      </w:r>
      <w:r w:rsidR="00343CAB">
        <w:rPr>
          <w:rFonts w:cs="Arial"/>
        </w:rPr>
        <w:t xml:space="preserve">  </w:t>
      </w:r>
    </w:p>
    <w:p w14:paraId="581042C9" w14:textId="02068804" w:rsidR="003B6239" w:rsidRPr="007D1F85" w:rsidRDefault="00343CAB" w:rsidP="007D1F85">
      <w:pPr>
        <w:numPr>
          <w:ilvl w:val="0"/>
          <w:numId w:val="2"/>
        </w:numPr>
        <w:rPr>
          <w:rFonts w:cs="Arial"/>
        </w:rPr>
      </w:pPr>
      <w:r>
        <w:rPr>
          <w:rFonts w:cs="Arial"/>
        </w:rPr>
        <w:t xml:space="preserve">In 1999 the </w:t>
      </w:r>
      <w:r w:rsidR="00950508">
        <w:rPr>
          <w:rFonts w:cs="Arial"/>
        </w:rPr>
        <w:t>Canada’s first ministers adopted “</w:t>
      </w:r>
      <w:r w:rsidR="00950508" w:rsidRPr="00334353">
        <w:rPr>
          <w:rFonts w:cs="Arial"/>
        </w:rPr>
        <w:t>A Framework to Improve the Social Union for Canadians”.</w:t>
      </w:r>
      <w:r w:rsidR="00334353">
        <w:rPr>
          <w:rStyle w:val="FootnoteReference"/>
          <w:rFonts w:cs="Arial"/>
        </w:rPr>
        <w:footnoteReference w:id="18"/>
      </w:r>
      <w:r w:rsidR="00950508" w:rsidRPr="00334353">
        <w:rPr>
          <w:rFonts w:cs="Arial"/>
        </w:rPr>
        <w:t xml:space="preserve">   However, the Agreement lacked any accountability mechanisms and has been largely ignored in recent years. </w:t>
      </w:r>
      <w:r w:rsidR="003B6239" w:rsidRPr="007D1F85">
        <w:rPr>
          <w:rFonts w:cs="Arial"/>
        </w:rPr>
        <w:t>S</w:t>
      </w:r>
      <w:proofErr w:type="spellStart"/>
      <w:r w:rsidR="003B6239" w:rsidRPr="007D1F85">
        <w:rPr>
          <w:rFonts w:cs="Arial"/>
          <w:lang w:val="en-US"/>
        </w:rPr>
        <w:t>ection</w:t>
      </w:r>
      <w:proofErr w:type="spellEnd"/>
      <w:r w:rsidR="003B6239" w:rsidRPr="007D1F85">
        <w:rPr>
          <w:rFonts w:cs="Arial"/>
          <w:lang w:val="en-US"/>
        </w:rPr>
        <w:t xml:space="preserve"> 36(1) of the </w:t>
      </w:r>
      <w:r w:rsidR="003B6239" w:rsidRPr="007D1F85">
        <w:rPr>
          <w:rFonts w:cs="Arial"/>
          <w:i/>
          <w:lang w:val="en-US"/>
        </w:rPr>
        <w:t>Constitution Act, 1982</w:t>
      </w:r>
      <w:r w:rsidR="003B6239" w:rsidRPr="007D1F85">
        <w:rPr>
          <w:rFonts w:cs="Arial"/>
          <w:lang w:val="en-US"/>
        </w:rPr>
        <w:t xml:space="preserve"> recognizes a joint commitment of federal provincial and territorial governments to providing “essential public services of reasonable quality.”   In its </w:t>
      </w:r>
      <w:r w:rsidR="003B6239" w:rsidRPr="007D1F85">
        <w:rPr>
          <w:rFonts w:cs="Arial"/>
          <w:i/>
        </w:rPr>
        <w:t>Core Document</w:t>
      </w:r>
      <w:r w:rsidR="003B6239" w:rsidRPr="007D1F85">
        <w:rPr>
          <w:rFonts w:cs="Arial"/>
        </w:rPr>
        <w:t xml:space="preserve"> Canada described section 36 as being “particularly relevant in regard to ... the protection of economic, social and cultural rights.”</w:t>
      </w:r>
      <w:r w:rsidR="003B6239" w:rsidRPr="00C5478C">
        <w:rPr>
          <w:rFonts w:cs="Arial"/>
          <w:vertAlign w:val="superscript"/>
        </w:rPr>
        <w:endnoteReference w:id="4"/>
      </w:r>
      <w:r w:rsidR="003B6239" w:rsidRPr="007D1F85">
        <w:rPr>
          <w:rFonts w:cs="Arial"/>
        </w:rPr>
        <w:t xml:space="preserve">  Section 36 commitments have been largely ignored by courts and governments.  </w:t>
      </w:r>
    </w:p>
    <w:p w14:paraId="2C9ED0C2" w14:textId="77777777" w:rsidR="005F27AA" w:rsidRDefault="005F27AA" w:rsidP="00964B99">
      <w:pPr>
        <w:rPr>
          <w:rFonts w:cs="Arial"/>
          <w:b/>
        </w:rPr>
      </w:pPr>
    </w:p>
    <w:p w14:paraId="3F159DF5" w14:textId="400551CD" w:rsidR="00334353" w:rsidRPr="007D1F85" w:rsidRDefault="00582633" w:rsidP="00334353">
      <w:pPr>
        <w:rPr>
          <w:rFonts w:cs="Arial"/>
          <w:b/>
        </w:rPr>
      </w:pPr>
      <w:r>
        <w:rPr>
          <w:rFonts w:cs="Arial"/>
          <w:b/>
          <w:noProof/>
        </w:rPr>
        <mc:AlternateContent>
          <mc:Choice Requires="wps">
            <w:drawing>
              <wp:inline distT="0" distB="0" distL="0" distR="0" wp14:anchorId="5C3CABFB" wp14:editId="313F4145">
                <wp:extent cx="6035040" cy="2400300"/>
                <wp:effectExtent l="0" t="0" r="60960" b="57150"/>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40030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560C2F57" w14:textId="259B7149" w:rsidR="00760C74" w:rsidRPr="001F15BB" w:rsidRDefault="00334353" w:rsidP="007712CF">
                            <w:pPr>
                              <w:ind w:right="432" w:firstLine="432"/>
                              <w:rPr>
                                <w:rFonts w:cs="Arial"/>
                                <w:b/>
                                <w:u w:val="single"/>
                              </w:rPr>
                            </w:pPr>
                            <w:r>
                              <w:rPr>
                                <w:rFonts w:cs="Arial"/>
                                <w:b/>
                                <w:u w:val="single"/>
                              </w:rPr>
                              <w:t xml:space="preserve">Social Union </w:t>
                            </w:r>
                            <w:r w:rsidR="00760C74">
                              <w:rPr>
                                <w:rFonts w:cs="Arial"/>
                                <w:b/>
                                <w:u w:val="single"/>
                              </w:rPr>
                              <w:t>Framework Agreement</w:t>
                            </w:r>
                            <w:r>
                              <w:rPr>
                                <w:rFonts w:cs="Arial"/>
                                <w:b/>
                                <w:u w:val="single"/>
                              </w:rPr>
                              <w:t xml:space="preserve"> and</w:t>
                            </w:r>
                            <w:r w:rsidR="00760C74">
                              <w:rPr>
                                <w:rFonts w:cs="Arial"/>
                                <w:b/>
                                <w:u w:val="single"/>
                              </w:rPr>
                              <w:t xml:space="preserve"> </w:t>
                            </w:r>
                            <w:r>
                              <w:rPr>
                                <w:rFonts w:cs="Arial"/>
                                <w:b/>
                                <w:u w:val="single"/>
                              </w:rPr>
                              <w:t>a</w:t>
                            </w:r>
                            <w:r w:rsidR="00760C74">
                              <w:rPr>
                                <w:rFonts w:cs="Arial"/>
                                <w:b/>
                                <w:u w:val="single"/>
                              </w:rPr>
                              <w:t xml:space="preserve"> Social Charter</w:t>
                            </w:r>
                          </w:p>
                          <w:p w14:paraId="2C811252" w14:textId="6586DA18" w:rsidR="00760C74" w:rsidRPr="007D1F85" w:rsidRDefault="00266E97" w:rsidP="00266E97">
                            <w:pPr>
                              <w:pStyle w:val="ListParagraph"/>
                              <w:ind w:left="0" w:right="432"/>
                              <w:rPr>
                                <w:b/>
                              </w:rPr>
                            </w:pPr>
                            <w:r>
                              <w:rPr>
                                <w:rFonts w:cs="Arial"/>
                                <w:b/>
                              </w:rPr>
                              <w:t xml:space="preserve">10. </w:t>
                            </w:r>
                            <w:r w:rsidR="00760C74" w:rsidRPr="007D1F85">
                              <w:rPr>
                                <w:rFonts w:cs="Arial"/>
                                <w:b/>
                              </w:rPr>
                              <w:t xml:space="preserve">The Committee should ask Canada to provide information on whether the </w:t>
                            </w:r>
                            <w:r w:rsidR="00760C74" w:rsidRPr="007D1F85">
                              <w:rPr>
                                <w:rFonts w:cs="Arial"/>
                                <w:b/>
                              </w:rPr>
                              <w:br/>
                              <w:t>“Social Union Framework Agreement” of 1999 needs to be replaced with a more rights-based inter-governmental framework for the implementation of ESC rights</w:t>
                            </w:r>
                            <w:r w:rsidR="007D1F85" w:rsidRPr="007D1F85">
                              <w:rPr>
                                <w:rFonts w:cs="Arial"/>
                                <w:b/>
                              </w:rPr>
                              <w:t>. Such a framework would</w:t>
                            </w:r>
                            <w:r w:rsidR="00760C74" w:rsidRPr="007D1F85">
                              <w:rPr>
                                <w:rFonts w:cs="Arial"/>
                                <w:b/>
                              </w:rPr>
                              <w:t xml:space="preserve"> provid</w:t>
                            </w:r>
                            <w:r w:rsidR="007D1F85" w:rsidRPr="007D1F85">
                              <w:rPr>
                                <w:rFonts w:cs="Arial"/>
                                <w:b/>
                              </w:rPr>
                              <w:t>e</w:t>
                            </w:r>
                            <w:r w:rsidR="00760C74" w:rsidRPr="007D1F85">
                              <w:rPr>
                                <w:rFonts w:cs="Arial"/>
                                <w:b/>
                              </w:rPr>
                              <w:t xml:space="preserve"> for monitoring, adjudication and implementation of ESC rights </w:t>
                            </w:r>
                            <w:r w:rsidR="00334353" w:rsidRPr="007D1F85">
                              <w:rPr>
                                <w:rFonts w:cs="Arial"/>
                                <w:b/>
                              </w:rPr>
                              <w:t xml:space="preserve">through </w:t>
                            </w:r>
                            <w:r w:rsidR="00760C74" w:rsidRPr="007D1F85">
                              <w:rPr>
                                <w:rFonts w:cs="Arial"/>
                                <w:b/>
                              </w:rPr>
                              <w:t xml:space="preserve">federal/provincial/territorial agreements and facilitating joint strategies for the realization of ESC rights.  </w:t>
                            </w:r>
                            <w:r w:rsidR="00334353" w:rsidRPr="007D1F85">
                              <w:rPr>
                                <w:rFonts w:cs="Arial"/>
                                <w:b/>
                              </w:rPr>
                              <w:t xml:space="preserve">The Committee could also ask </w:t>
                            </w:r>
                            <w:r w:rsidR="00760C74" w:rsidRPr="007D1F85">
                              <w:rPr>
                                <w:rFonts w:cs="Arial"/>
                                <w:b/>
                              </w:rPr>
                              <w:t>if consideration has been given to the idea of a ‘social charter’ to promote the implementation the Covenant within Canada’s federal system</w:t>
                            </w:r>
                            <w:r w:rsidR="00334353" w:rsidRPr="007D1F85">
                              <w:rPr>
                                <w:rFonts w:cs="Arial"/>
                                <w:b/>
                              </w:rPr>
                              <w:t xml:space="preserve">, in line with </w:t>
                            </w:r>
                            <w:r w:rsidR="00760C74" w:rsidRPr="007D1F85">
                              <w:rPr>
                                <w:rFonts w:cs="Arial"/>
                                <w:b/>
                              </w:rPr>
                              <w:t xml:space="preserve">section 36(1) of the Constitution Act, 1982, which Canada has described as being particularly relevant to the protection of ESC rights.  </w:t>
                            </w:r>
                          </w:p>
                        </w:txbxContent>
                      </wps:txbx>
                      <wps:bodyPr rot="0" vert="horz" wrap="square" lIns="91440" tIns="45720" rIns="91440" bIns="45720" anchor="t" anchorCtr="0" upright="1">
                        <a:noAutofit/>
                      </wps:bodyPr>
                    </wps:wsp>
                  </a:graphicData>
                </a:graphic>
              </wp:inline>
            </w:drawing>
          </mc:Choice>
          <mc:Fallback>
            <w:pict>
              <v:shape w14:anchorId="5C3CABFB" id="Text Box 46" o:spid="_x0000_s1036" type="#_x0000_t202" style="width:475.2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" fillcolor="#f2f2f2">
                <v:shadow on="t"/>
                <v:textbox>
                  <w:txbxContent>
                    <w:p w14:paraId="560C2F57" w14:textId="259B7149" w:rsidR="00760C74" w:rsidRPr="001F15BB" w:rsidRDefault="00334353" w:rsidP="007712CF">
                      <w:pPr>
                        <w:ind w:right="432" w:firstLine="432"/>
                        <w:rPr>
                          <w:rFonts w:cs="Arial"/>
                          <w:b/>
                          <w:u w:val="single"/>
                        </w:rPr>
                      </w:pPr>
                      <w:r>
                        <w:rPr>
                          <w:rFonts w:cs="Arial"/>
                          <w:b/>
                          <w:u w:val="single"/>
                        </w:rPr>
                        <w:t xml:space="preserve">Social Union </w:t>
                      </w:r>
                      <w:r w:rsidR="00760C74">
                        <w:rPr>
                          <w:rFonts w:cs="Arial"/>
                          <w:b/>
                          <w:u w:val="single"/>
                        </w:rPr>
                        <w:t>Framework Agreement</w:t>
                      </w:r>
                      <w:r>
                        <w:rPr>
                          <w:rFonts w:cs="Arial"/>
                          <w:b/>
                          <w:u w:val="single"/>
                        </w:rPr>
                        <w:t xml:space="preserve"> and</w:t>
                      </w:r>
                      <w:r w:rsidR="00760C74">
                        <w:rPr>
                          <w:rFonts w:cs="Arial"/>
                          <w:b/>
                          <w:u w:val="single"/>
                        </w:rPr>
                        <w:t xml:space="preserve"> </w:t>
                      </w:r>
                      <w:r>
                        <w:rPr>
                          <w:rFonts w:cs="Arial"/>
                          <w:b/>
                          <w:u w:val="single"/>
                        </w:rPr>
                        <w:t>a</w:t>
                      </w:r>
                      <w:r w:rsidR="00760C74">
                        <w:rPr>
                          <w:rFonts w:cs="Arial"/>
                          <w:b/>
                          <w:u w:val="single"/>
                        </w:rPr>
                        <w:t xml:space="preserve"> Social Charter</w:t>
                      </w:r>
                    </w:p>
                    <w:p w14:paraId="2C811252" w14:textId="6586DA18" w:rsidR="00760C74" w:rsidRPr="007D1F85" w:rsidRDefault="00266E97" w:rsidP="00266E97">
                      <w:pPr>
                        <w:pStyle w:val="ListParagraph"/>
                        <w:ind w:left="0" w:right="432"/>
                        <w:rPr>
                          <w:b/>
                        </w:rPr>
                      </w:pPr>
                      <w:r>
                        <w:rPr>
                          <w:rFonts w:cs="Arial"/>
                          <w:b/>
                        </w:rPr>
                        <w:t xml:space="preserve">10. </w:t>
                      </w:r>
                      <w:r w:rsidR="00760C74" w:rsidRPr="007D1F85">
                        <w:rPr>
                          <w:rFonts w:cs="Arial"/>
                          <w:b/>
                        </w:rPr>
                        <w:t xml:space="preserve">The Committee should ask Canada to provide information on whether the </w:t>
                      </w:r>
                      <w:r w:rsidR="00760C74" w:rsidRPr="007D1F85">
                        <w:rPr>
                          <w:rFonts w:cs="Arial"/>
                          <w:b/>
                        </w:rPr>
                        <w:br/>
                        <w:t>“Social Union Framework Agreement” of 1999 needs to be replaced with a more rights-based inter-governmental framework for the implementation of ESC rights</w:t>
                      </w:r>
                      <w:r w:rsidR="007D1F85" w:rsidRPr="007D1F85">
                        <w:rPr>
                          <w:rFonts w:cs="Arial"/>
                          <w:b/>
                        </w:rPr>
                        <w:t>. Such a framework would</w:t>
                      </w:r>
                      <w:r w:rsidR="00760C74" w:rsidRPr="007D1F85">
                        <w:rPr>
                          <w:rFonts w:cs="Arial"/>
                          <w:b/>
                        </w:rPr>
                        <w:t xml:space="preserve"> provid</w:t>
                      </w:r>
                      <w:r w:rsidR="007D1F85" w:rsidRPr="007D1F85">
                        <w:rPr>
                          <w:rFonts w:cs="Arial"/>
                          <w:b/>
                        </w:rPr>
                        <w:t>e</w:t>
                      </w:r>
                      <w:r w:rsidR="00760C74" w:rsidRPr="007D1F85">
                        <w:rPr>
                          <w:rFonts w:cs="Arial"/>
                          <w:b/>
                        </w:rPr>
                        <w:t xml:space="preserve"> for monitoring, adjudication and implementation of ESC rights </w:t>
                      </w:r>
                      <w:r w:rsidR="00334353" w:rsidRPr="007D1F85">
                        <w:rPr>
                          <w:rFonts w:cs="Arial"/>
                          <w:b/>
                        </w:rPr>
                        <w:t xml:space="preserve">through </w:t>
                      </w:r>
                      <w:r w:rsidR="00760C74" w:rsidRPr="007D1F85">
                        <w:rPr>
                          <w:rFonts w:cs="Arial"/>
                          <w:b/>
                        </w:rPr>
                        <w:t xml:space="preserve">federal/provincial/territorial agreements and facilitating joint strategies for the realization of ESC rights.  </w:t>
                      </w:r>
                      <w:r w:rsidR="00334353" w:rsidRPr="007D1F85">
                        <w:rPr>
                          <w:rFonts w:cs="Arial"/>
                          <w:b/>
                        </w:rPr>
                        <w:t xml:space="preserve">The Committee could also ask </w:t>
                      </w:r>
                      <w:r w:rsidR="00760C74" w:rsidRPr="007D1F85">
                        <w:rPr>
                          <w:rFonts w:cs="Arial"/>
                          <w:b/>
                        </w:rPr>
                        <w:t>if consideration has been given to the idea of a ‘social charter’ to promote the implementation the Covenant within Canada’s federal system</w:t>
                      </w:r>
                      <w:r w:rsidR="00334353" w:rsidRPr="007D1F85">
                        <w:rPr>
                          <w:rFonts w:cs="Arial"/>
                          <w:b/>
                        </w:rPr>
                        <w:t xml:space="preserve">, in line with </w:t>
                      </w:r>
                      <w:r w:rsidR="00760C74" w:rsidRPr="007D1F85">
                        <w:rPr>
                          <w:rFonts w:cs="Arial"/>
                          <w:b/>
                        </w:rPr>
                        <w:t xml:space="preserve">section 36(1) of the Constitution Act, 1982, which Canada has described as being particularly relevant to the protection of ESC rights.  </w:t>
                      </w:r>
                    </w:p>
                  </w:txbxContent>
                </v:textbox>
                <w10:anchorlock/>
              </v:shape>
            </w:pict>
          </mc:Fallback>
        </mc:AlternateContent>
      </w:r>
      <w:bookmarkStart w:id="49" w:name="_Toc442138319"/>
      <w:bookmarkStart w:id="50" w:name="_Toc442138355"/>
    </w:p>
    <w:p w14:paraId="064A998D" w14:textId="77777777" w:rsidR="008A0F79" w:rsidRDefault="008A0F79" w:rsidP="008A0F79">
      <w:pPr>
        <w:pStyle w:val="Heading2"/>
        <w:ind w:left="1080"/>
      </w:pPr>
      <w:bookmarkStart w:id="51" w:name="_Toc442138316"/>
      <w:bookmarkStart w:id="52" w:name="_Toc442138352"/>
      <w:bookmarkEnd w:id="49"/>
      <w:bookmarkEnd w:id="50"/>
    </w:p>
    <w:p w14:paraId="76F15B4F" w14:textId="099A2670" w:rsidR="008A0F79" w:rsidRPr="0075491E" w:rsidRDefault="0075491E" w:rsidP="0075491E">
      <w:pPr>
        <w:pStyle w:val="Heading2"/>
        <w:numPr>
          <w:ilvl w:val="0"/>
          <w:numId w:val="18"/>
        </w:numPr>
        <w:rPr>
          <w:color w:val="4472C4" w:themeColor="accent1"/>
        </w:rPr>
      </w:pPr>
      <w:bookmarkStart w:id="53" w:name="_Toc32279511"/>
      <w:bookmarkStart w:id="54" w:name="_Toc115198231"/>
      <w:r w:rsidRPr="0075491E">
        <w:rPr>
          <w:color w:val="4472C4" w:themeColor="accent1"/>
        </w:rPr>
        <w:t xml:space="preserve">CIVIL </w:t>
      </w:r>
      <w:r w:rsidRPr="0076723F">
        <w:rPr>
          <w:color w:val="ED7D31" w:themeColor="accent2"/>
        </w:rPr>
        <w:t>LEGAL AID</w:t>
      </w:r>
      <w:bookmarkEnd w:id="51"/>
      <w:bookmarkEnd w:id="52"/>
      <w:r w:rsidRPr="0076723F">
        <w:rPr>
          <w:color w:val="ED7D31" w:themeColor="accent2"/>
        </w:rPr>
        <w:t xml:space="preserve">, TEST CASE FUNDING </w:t>
      </w:r>
      <w:r w:rsidRPr="0075491E">
        <w:rPr>
          <w:color w:val="4472C4" w:themeColor="accent1"/>
        </w:rPr>
        <w:t>AND THE COURT CHALLENGES PROGRAM</w:t>
      </w:r>
      <w:bookmarkEnd w:id="53"/>
      <w:bookmarkEnd w:id="54"/>
    </w:p>
    <w:p w14:paraId="2448E288" w14:textId="77777777" w:rsidR="008A0F79" w:rsidRPr="001F0A67" w:rsidRDefault="008A0F79" w:rsidP="008A0F79"/>
    <w:p w14:paraId="1B274690" w14:textId="77777777" w:rsidR="008A0F79" w:rsidRDefault="008A0F79" w:rsidP="008A0F79">
      <w:pPr>
        <w:numPr>
          <w:ilvl w:val="0"/>
          <w:numId w:val="2"/>
        </w:numPr>
        <w:rPr>
          <w:rFonts w:cs="Arial"/>
          <w:iCs/>
        </w:rPr>
      </w:pPr>
      <w:r w:rsidRPr="00C940FA">
        <w:rPr>
          <w:rFonts w:cs="Arial"/>
          <w:iCs/>
        </w:rPr>
        <w:t>In</w:t>
      </w:r>
      <w:r>
        <w:rPr>
          <w:rFonts w:cs="Arial"/>
          <w:iCs/>
        </w:rPr>
        <w:t xml:space="preserve"> </w:t>
      </w:r>
      <w:r w:rsidRPr="008B3AD3">
        <w:rPr>
          <w:rFonts w:cs="Arial"/>
          <w:i/>
          <w:iCs/>
        </w:rPr>
        <w:t>Canadian Bar Assn. v. British Columbia</w:t>
      </w:r>
      <w:r>
        <w:rPr>
          <w:rFonts w:cs="Arial"/>
          <w:iCs/>
        </w:rPr>
        <w:t xml:space="preserve">, 2008 BCCA 92, </w:t>
      </w:r>
      <w:r w:rsidRPr="001F0A67">
        <w:rPr>
          <w:rFonts w:cs="Arial"/>
          <w:iCs/>
        </w:rPr>
        <w:t>the Canadian Bar Association sought to challenge continued cuts to civil legal aid</w:t>
      </w:r>
      <w:r>
        <w:rPr>
          <w:rFonts w:cs="Arial"/>
          <w:iCs/>
        </w:rPr>
        <w:t xml:space="preserve"> that resulted in unacceptable restrictions on access to justice by people living in poverty, particularly women.  The applicants cited</w:t>
      </w:r>
      <w:r w:rsidRPr="001F0A67">
        <w:rPr>
          <w:rFonts w:cs="Arial"/>
          <w:iCs/>
        </w:rPr>
        <w:t xml:space="preserve"> Canada’s international human rights obligations to ensure access to justice for poor people as a source for the interpretation of the right to security of the person and the right to equality under the </w:t>
      </w:r>
      <w:r w:rsidRPr="001F0A67">
        <w:rPr>
          <w:rFonts w:cs="Arial"/>
          <w:i/>
          <w:iCs/>
        </w:rPr>
        <w:t>Canadian Charter</w:t>
      </w:r>
      <w:r w:rsidRPr="001F0A67">
        <w:rPr>
          <w:rFonts w:cs="Arial"/>
          <w:iCs/>
        </w:rPr>
        <w:t xml:space="preserve">.  The </w:t>
      </w:r>
      <w:r w:rsidRPr="00456B41">
        <w:rPr>
          <w:rFonts w:cs="Arial"/>
        </w:rPr>
        <w:t>Government</w:t>
      </w:r>
      <w:r w:rsidRPr="001F0A67">
        <w:rPr>
          <w:rFonts w:cs="Arial"/>
          <w:iCs/>
        </w:rPr>
        <w:t xml:space="preserve"> of British Columbia argued that international human rights law is not enforceable by courts and ought therefore to be ignored in this case.  The BC Court of Appeal dismissed the claim as being non- justiciable.</w:t>
      </w:r>
      <w:r>
        <w:rPr>
          <w:rFonts w:cs="Arial"/>
          <w:iCs/>
        </w:rPr>
        <w:t xml:space="preserve">  Access to civil legal aid has been severely restricted in many provinces in Canada.  Ontario imposed a cut of </w:t>
      </w:r>
      <w:r w:rsidRPr="00533E73">
        <w:rPr>
          <w:rFonts w:cs="Arial"/>
          <w:iCs/>
        </w:rPr>
        <w:t xml:space="preserve">$133 million </w:t>
      </w:r>
      <w:r>
        <w:rPr>
          <w:rFonts w:cs="Arial"/>
          <w:iCs/>
        </w:rPr>
        <w:t xml:space="preserve">to the </w:t>
      </w:r>
      <w:r w:rsidRPr="00533E73">
        <w:rPr>
          <w:rFonts w:cs="Arial"/>
          <w:iCs/>
        </w:rPr>
        <w:t xml:space="preserve">legal aid </w:t>
      </w:r>
      <w:r>
        <w:rPr>
          <w:rFonts w:cs="Arial"/>
          <w:iCs/>
        </w:rPr>
        <w:t xml:space="preserve">budget </w:t>
      </w:r>
      <w:r w:rsidRPr="00533E73">
        <w:rPr>
          <w:rFonts w:cs="Arial"/>
          <w:iCs/>
        </w:rPr>
        <w:t>in 2019</w:t>
      </w:r>
      <w:r>
        <w:rPr>
          <w:rFonts w:cs="Arial"/>
          <w:iCs/>
        </w:rPr>
        <w:t xml:space="preserve">.  Funding for test case litigation to assert ESC rights is particularly scarce.  The test case funding program of Ontario Legal Aid has been dramatically cut.  </w:t>
      </w:r>
    </w:p>
    <w:p w14:paraId="4CCABCE8" w14:textId="77777777" w:rsidR="008A0F79" w:rsidRPr="00456B41" w:rsidRDefault="008A0F79" w:rsidP="008A0F79">
      <w:pPr>
        <w:numPr>
          <w:ilvl w:val="0"/>
          <w:numId w:val="2"/>
        </w:numPr>
        <w:rPr>
          <w:rFonts w:cs="Arial"/>
          <w:iCs/>
        </w:rPr>
      </w:pPr>
      <w:r>
        <w:rPr>
          <w:rFonts w:cs="Arial"/>
          <w:iCs/>
        </w:rPr>
        <w:t>T</w:t>
      </w:r>
      <w:r w:rsidRPr="00456B41">
        <w:rPr>
          <w:rFonts w:cs="Arial"/>
        </w:rPr>
        <w:t xml:space="preserve">he Federal Court Challenges Program, which had been cancelled by the previous government, has now been reinstated and extended to include challenges under additional sections of the Charter, including section 7. However, contrary to recommendations from the Committee in earlier </w:t>
      </w:r>
      <w:proofErr w:type="gramStart"/>
      <w:r w:rsidRPr="00456B41">
        <w:rPr>
          <w:rFonts w:cs="Arial"/>
        </w:rPr>
        <w:t>reviews,  Charter</w:t>
      </w:r>
      <w:proofErr w:type="gramEnd"/>
      <w:r w:rsidRPr="00456B41">
        <w:rPr>
          <w:rFonts w:cs="Arial"/>
        </w:rPr>
        <w:t xml:space="preserve"> challenges other than language rights challenges under section 23 against provincial or territorial government are ineligible for funding.  This means that most cases involving ESC rights are ineligible for funding.  In addition, where domestic remedies are exhausted, funding is not provided to file petitions with international human rights bodies.</w:t>
      </w:r>
    </w:p>
    <w:p w14:paraId="18BDEBC5" w14:textId="77777777" w:rsidR="008A0F79" w:rsidRDefault="008A0F79" w:rsidP="008A0F79">
      <w:pPr>
        <w:rPr>
          <w:rFonts w:cs="Arial"/>
        </w:rPr>
      </w:pPr>
      <w:r>
        <w:rPr>
          <w:rFonts w:cs="Arial"/>
          <w:b/>
          <w:noProof/>
        </w:rPr>
        <mc:AlternateContent>
          <mc:Choice Requires="wps">
            <w:drawing>
              <wp:inline distT="0" distB="0" distL="0" distR="0" wp14:anchorId="3AF85BCF" wp14:editId="64E6EAAA">
                <wp:extent cx="6035040" cy="2072640"/>
                <wp:effectExtent l="0" t="0" r="60960" b="60960"/>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072640"/>
                        </a:xfrm>
                        <a:prstGeom prst="rect">
                          <a:avLst/>
                        </a:prstGeom>
                        <a:solidFill>
                          <a:srgbClr val="F2F2F2"/>
                        </a:solidFill>
                        <a:ln w="9525">
                          <a:solidFill>
                            <a:srgbClr val="000000"/>
                          </a:solidFill>
                          <a:miter lim="800000"/>
                          <a:headEnd/>
                          <a:tailEnd/>
                        </a:ln>
                        <a:effectLst>
                          <a:outerShdw dist="35921" dir="2700000" algn="ctr" rotWithShape="0">
                            <a:srgbClr val="808080"/>
                          </a:outerShdw>
                        </a:effectLst>
                      </wps:spPr>
                      <wps:txbx>
                        <w:txbxContent>
                          <w:p w14:paraId="33DA70ED" w14:textId="5DF28B07" w:rsidR="008A0F79" w:rsidRPr="009F74CD" w:rsidRDefault="008A0F79" w:rsidP="00266E97">
                            <w:pPr>
                              <w:ind w:right="432"/>
                              <w:rPr>
                                <w:rFonts w:cs="Arial"/>
                                <w:b/>
                                <w:u w:val="single"/>
                              </w:rPr>
                            </w:pPr>
                            <w:r>
                              <w:rPr>
                                <w:rFonts w:cs="Arial"/>
                                <w:b/>
                                <w:u w:val="single"/>
                              </w:rPr>
                              <w:t>Access to Justice and Legal Aid</w:t>
                            </w:r>
                          </w:p>
                          <w:p w14:paraId="5E2AFF40" w14:textId="4DA9CA4F" w:rsidR="008A0F79" w:rsidRPr="007C6CBC" w:rsidRDefault="0075491E" w:rsidP="008A0F79">
                            <w:pPr>
                              <w:ind w:right="432"/>
                              <w:rPr>
                                <w:rFonts w:cs="Arial"/>
                                <w:b/>
                              </w:rPr>
                            </w:pPr>
                            <w:r>
                              <w:rPr>
                                <w:rFonts w:cs="Arial"/>
                                <w:b/>
                              </w:rPr>
                              <w:t>1</w:t>
                            </w:r>
                            <w:r w:rsidR="00266E97">
                              <w:rPr>
                                <w:rFonts w:cs="Arial"/>
                                <w:b/>
                              </w:rPr>
                              <w:t>1</w:t>
                            </w:r>
                            <w:r w:rsidR="008A0F79">
                              <w:rPr>
                                <w:rFonts w:cs="Arial"/>
                                <w:b/>
                              </w:rPr>
                              <w:t xml:space="preserve">. The Committee should welcome the federal government’s reinstatement of the Court Challenges Programme but ask Canada if it will consider extending funding under the human rights program to include challenges to provincial/territorial law or policy where the case is of national importance. The Committee should inquire whether the program funds follow-up litigation before international human rights bodies when effective remedies have been denied under the Charter.  All </w:t>
                            </w:r>
                            <w:r w:rsidR="008A0F79" w:rsidRPr="007C6CBC">
                              <w:rPr>
                                <w:rFonts w:cs="Arial"/>
                                <w:b/>
                              </w:rPr>
                              <w:t xml:space="preserve">governments should </w:t>
                            </w:r>
                            <w:r w:rsidR="008A0F79">
                              <w:rPr>
                                <w:rFonts w:cs="Arial"/>
                                <w:b/>
                              </w:rPr>
                              <w:t xml:space="preserve">be asked to provide information on barriers to access to justice for low income persons and to describe measures taken to improve access to civil legal aid. </w:t>
                            </w:r>
                          </w:p>
                          <w:p w14:paraId="328F1B35" w14:textId="77777777" w:rsidR="008A0F79" w:rsidRPr="00C5478C" w:rsidRDefault="008A0F79" w:rsidP="008A0F79">
                            <w:pPr>
                              <w:rPr>
                                <w:rFonts w:cs="Arial"/>
                              </w:rPr>
                            </w:pPr>
                          </w:p>
                          <w:p w14:paraId="37139BBE" w14:textId="77777777" w:rsidR="008A0F79" w:rsidRDefault="008A0F79" w:rsidP="008A0F79"/>
                        </w:txbxContent>
                      </wps:txbx>
                      <wps:bodyPr rot="0" vert="horz" wrap="square" lIns="91440" tIns="45720" rIns="91440" bIns="45720" anchor="t" anchorCtr="0" upright="1">
                        <a:noAutofit/>
                      </wps:bodyPr>
                    </wps:wsp>
                  </a:graphicData>
                </a:graphic>
              </wp:inline>
            </w:drawing>
          </mc:Choice>
          <mc:Fallback>
            <w:pict>
              <v:shape w14:anchorId="3AF85BCF" id="Text Box 51" o:spid="_x0000_s1037" type="#_x0000_t202" style="width:475.2pt;height:1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" fillcolor="#f2f2f2">
                <v:shadow on="t"/>
                <v:textbox>
                  <w:txbxContent>
                    <w:p w14:paraId="33DA70ED" w14:textId="5DF28B07" w:rsidR="008A0F79" w:rsidRPr="009F74CD" w:rsidRDefault="008A0F79" w:rsidP="00266E97">
                      <w:pPr>
                        <w:ind w:right="432"/>
                        <w:rPr>
                          <w:rFonts w:cs="Arial"/>
                          <w:b/>
                          <w:u w:val="single"/>
                        </w:rPr>
                      </w:pPr>
                      <w:r>
                        <w:rPr>
                          <w:rFonts w:cs="Arial"/>
                          <w:b/>
                          <w:u w:val="single"/>
                        </w:rPr>
                        <w:t>Access to Justice and Legal Aid</w:t>
                      </w:r>
                    </w:p>
                    <w:p w14:paraId="5E2AFF40" w14:textId="4DA9CA4F" w:rsidR="008A0F79" w:rsidRPr="007C6CBC" w:rsidRDefault="0075491E" w:rsidP="008A0F79">
                      <w:pPr>
                        <w:ind w:right="432"/>
                        <w:rPr>
                          <w:rFonts w:cs="Arial"/>
                          <w:b/>
                        </w:rPr>
                      </w:pPr>
                      <w:r>
                        <w:rPr>
                          <w:rFonts w:cs="Arial"/>
                          <w:b/>
                        </w:rPr>
                        <w:t>1</w:t>
                      </w:r>
                      <w:r w:rsidR="00266E97">
                        <w:rPr>
                          <w:rFonts w:cs="Arial"/>
                          <w:b/>
                        </w:rPr>
                        <w:t>1</w:t>
                      </w:r>
                      <w:r w:rsidR="008A0F79">
                        <w:rPr>
                          <w:rFonts w:cs="Arial"/>
                          <w:b/>
                        </w:rPr>
                        <w:t xml:space="preserve">. The Committee should welcome the federal government’s reinstatement of the Court Challenges Programme but ask Canada if it will consider extending funding under the human rights program to include challenges to provincial/territorial law or policy where the case is of national importance. The Committee should inquire whether the program funds follow-up litigation before international human rights bodies when effective remedies have been denied under the Charter.  All </w:t>
                      </w:r>
                      <w:r w:rsidR="008A0F79" w:rsidRPr="007C6CBC">
                        <w:rPr>
                          <w:rFonts w:cs="Arial"/>
                          <w:b/>
                        </w:rPr>
                        <w:t xml:space="preserve">governments should </w:t>
                      </w:r>
                      <w:r w:rsidR="008A0F79">
                        <w:rPr>
                          <w:rFonts w:cs="Arial"/>
                          <w:b/>
                        </w:rPr>
                        <w:t xml:space="preserve">be asked to provide information on barriers to access to justice for low income persons and to describe measures taken to improve access to civil legal aid. </w:t>
                      </w:r>
                    </w:p>
                    <w:p w14:paraId="328F1B35" w14:textId="77777777" w:rsidR="008A0F79" w:rsidRPr="00C5478C" w:rsidRDefault="008A0F79" w:rsidP="008A0F79">
                      <w:pPr>
                        <w:rPr>
                          <w:rFonts w:cs="Arial"/>
                        </w:rPr>
                      </w:pPr>
                    </w:p>
                    <w:p w14:paraId="37139BBE" w14:textId="77777777" w:rsidR="008A0F79" w:rsidRDefault="008A0F79" w:rsidP="008A0F79"/>
                  </w:txbxContent>
                </v:textbox>
                <w10:anchorlock/>
              </v:shape>
            </w:pict>
          </mc:Fallback>
        </mc:AlternateContent>
      </w:r>
    </w:p>
    <w:p w14:paraId="490AB617" w14:textId="77777777" w:rsidR="008A0F79" w:rsidRDefault="008A0F79" w:rsidP="008A0F79">
      <w:pPr>
        <w:ind w:right="-54"/>
        <w:rPr>
          <w:rFonts w:cs="Arial"/>
          <w:b/>
        </w:rPr>
      </w:pPr>
    </w:p>
    <w:p w14:paraId="232E78D6" w14:textId="77777777" w:rsidR="00027EFF" w:rsidRPr="00027EFF" w:rsidRDefault="00027EFF" w:rsidP="00027EFF"/>
    <w:sectPr w:rsidR="00027EFF" w:rsidRPr="00027EFF" w:rsidSect="0026195E">
      <w:endnotePr>
        <w:numFmt w:val="decimal"/>
      </w:endnotePr>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994A" w14:textId="77777777" w:rsidR="00B741E6" w:rsidRDefault="00B741E6" w:rsidP="005517F2">
      <w:r>
        <w:separator/>
      </w:r>
    </w:p>
  </w:endnote>
  <w:endnote w:type="continuationSeparator" w:id="0">
    <w:p w14:paraId="12812B9A" w14:textId="77777777" w:rsidR="00B741E6" w:rsidRDefault="00B741E6" w:rsidP="005517F2">
      <w:r>
        <w:continuationSeparator/>
      </w:r>
    </w:p>
  </w:endnote>
  <w:endnote w:id="1">
    <w:p w14:paraId="2CCA35D7" w14:textId="77777777" w:rsidR="00760C74" w:rsidRPr="00793F99" w:rsidRDefault="00760C74" w:rsidP="00250A25">
      <w:pPr>
        <w:pStyle w:val="EndnoteText"/>
        <w:rPr>
          <w:sz w:val="22"/>
          <w:szCs w:val="22"/>
        </w:rPr>
      </w:pPr>
      <w:r w:rsidRPr="00793F99">
        <w:rPr>
          <w:rStyle w:val="EndnoteReference"/>
          <w:sz w:val="22"/>
          <w:szCs w:val="22"/>
        </w:rPr>
        <w:endnoteRef/>
      </w:r>
      <w:r w:rsidRPr="00793F99">
        <w:rPr>
          <w:i/>
          <w:sz w:val="22"/>
          <w:szCs w:val="22"/>
        </w:rPr>
        <w:t xml:space="preserve"> </w:t>
      </w:r>
      <w:r w:rsidRPr="00793F99">
        <w:rPr>
          <w:bCs/>
          <w:i/>
          <w:sz w:val="22"/>
          <w:szCs w:val="22"/>
        </w:rPr>
        <w:t>Irwin Toy</w:t>
      </w:r>
      <w:r w:rsidRPr="00793F99">
        <w:rPr>
          <w:i/>
          <w:sz w:val="22"/>
          <w:szCs w:val="22"/>
        </w:rPr>
        <w:t xml:space="preserve"> Ltd. v. Quebec (Attorney General)</w:t>
      </w:r>
      <w:r w:rsidRPr="00793F99">
        <w:rPr>
          <w:sz w:val="22"/>
          <w:szCs w:val="22"/>
        </w:rPr>
        <w:t xml:space="preserve">, [1989] 1 </w:t>
      </w:r>
      <w:r w:rsidRPr="00793F99">
        <w:rPr>
          <w:bCs/>
          <w:sz w:val="22"/>
          <w:szCs w:val="22"/>
        </w:rPr>
        <w:t>SCR</w:t>
      </w:r>
      <w:r w:rsidRPr="00793F99">
        <w:rPr>
          <w:sz w:val="22"/>
          <w:szCs w:val="22"/>
        </w:rPr>
        <w:t xml:space="preserve"> 927.</w:t>
      </w:r>
    </w:p>
  </w:endnote>
  <w:endnote w:id="2">
    <w:p w14:paraId="6480418F" w14:textId="77777777" w:rsidR="00760C74" w:rsidRPr="00793F99" w:rsidRDefault="00760C74" w:rsidP="00250A25">
      <w:pPr>
        <w:rPr>
          <w:lang w:val="en-GB"/>
        </w:rPr>
      </w:pPr>
      <w:r w:rsidRPr="00793F99">
        <w:rPr>
          <w:rStyle w:val="EndnoteReference"/>
          <w:lang w:val="en-GB"/>
        </w:rPr>
        <w:endnoteRef/>
      </w:r>
      <w:r w:rsidRPr="00793F99">
        <w:rPr>
          <w:i/>
          <w:lang w:val="en-GB"/>
        </w:rPr>
        <w:t xml:space="preserve"> </w:t>
      </w:r>
      <w:r w:rsidRPr="00793F99">
        <w:rPr>
          <w:i/>
          <w:iCs/>
          <w:lang w:val="en-GB"/>
        </w:rPr>
        <w:t>Ibid</w:t>
      </w:r>
      <w:r w:rsidRPr="00793F99">
        <w:rPr>
          <w:iCs/>
          <w:lang w:val="en-GB"/>
        </w:rPr>
        <w:t>.</w:t>
      </w:r>
      <w:r w:rsidRPr="00793F99">
        <w:rPr>
          <w:i/>
          <w:lang w:val="en-GB"/>
        </w:rPr>
        <w:t xml:space="preserve"> </w:t>
      </w:r>
      <w:r w:rsidRPr="00793F99">
        <w:rPr>
          <w:lang w:val="en-GB"/>
        </w:rPr>
        <w:t xml:space="preserve">pp. 1003-4. </w:t>
      </w:r>
    </w:p>
  </w:endnote>
  <w:endnote w:id="3">
    <w:p w14:paraId="275FFD97" w14:textId="77777777" w:rsidR="00760C74" w:rsidRPr="00793F99" w:rsidRDefault="00760C74" w:rsidP="00250A25">
      <w:pPr>
        <w:pStyle w:val="EndnoteText"/>
        <w:rPr>
          <w:sz w:val="22"/>
          <w:szCs w:val="22"/>
        </w:rPr>
      </w:pPr>
      <w:r w:rsidRPr="00793F99">
        <w:rPr>
          <w:rStyle w:val="EndnoteReference"/>
          <w:sz w:val="22"/>
          <w:szCs w:val="22"/>
        </w:rPr>
        <w:endnoteRef/>
      </w:r>
      <w:r w:rsidRPr="00793F99">
        <w:rPr>
          <w:i/>
          <w:iCs/>
          <w:sz w:val="22"/>
          <w:szCs w:val="22"/>
        </w:rPr>
        <w:t xml:space="preserve"> </w:t>
      </w:r>
      <w:r w:rsidRPr="00793F99">
        <w:rPr>
          <w:i/>
          <w:iCs/>
          <w:sz w:val="22"/>
          <w:szCs w:val="22"/>
          <w:lang w:val="en-CA"/>
        </w:rPr>
        <w:t xml:space="preserve">Gosselin v. Quebec (Attorney General), [2002] 4 S.C.R. 429, 2002 SCC 84 </w:t>
      </w:r>
      <w:r w:rsidRPr="00793F99">
        <w:rPr>
          <w:sz w:val="22"/>
          <w:szCs w:val="22"/>
        </w:rPr>
        <w:t>at paras 82-83.</w:t>
      </w:r>
    </w:p>
  </w:endnote>
  <w:endnote w:id="4">
    <w:p w14:paraId="3EF509A3" w14:textId="0C45C766" w:rsidR="00760C74" w:rsidRDefault="00760C74" w:rsidP="003B6239">
      <w:pPr>
        <w:pStyle w:val="EndnoteText"/>
        <w:rPr>
          <w:sz w:val="22"/>
          <w:szCs w:val="22"/>
        </w:rPr>
      </w:pPr>
      <w:r w:rsidRPr="00793F99">
        <w:rPr>
          <w:rStyle w:val="EndnoteReference"/>
          <w:sz w:val="22"/>
          <w:szCs w:val="22"/>
        </w:rPr>
        <w:endnoteRef/>
      </w:r>
      <w:r w:rsidRPr="00793F99">
        <w:rPr>
          <w:sz w:val="22"/>
          <w:szCs w:val="22"/>
        </w:rPr>
        <w:t xml:space="preserve"> HRI/CORE/CAN/2013 at para 169.</w:t>
      </w:r>
    </w:p>
    <w:p w14:paraId="6BFF4774" w14:textId="3B651E35" w:rsidR="008A0F79" w:rsidRDefault="008A0F79" w:rsidP="003B6239">
      <w:pPr>
        <w:pStyle w:val="EndnoteText"/>
        <w:rPr>
          <w:sz w:val="22"/>
          <w:szCs w:val="22"/>
        </w:rPr>
      </w:pPr>
    </w:p>
    <w:p w14:paraId="3144B4D7" w14:textId="77777777" w:rsidR="008A0F79" w:rsidRPr="00793F99" w:rsidRDefault="008A0F79" w:rsidP="003B6239">
      <w:pPr>
        <w:pStyle w:val="EndnoteTex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DCB9" w14:textId="77777777" w:rsidR="00B741E6" w:rsidRDefault="00B741E6" w:rsidP="005517F2">
      <w:r>
        <w:separator/>
      </w:r>
    </w:p>
  </w:footnote>
  <w:footnote w:type="continuationSeparator" w:id="0">
    <w:p w14:paraId="7F2D5542" w14:textId="77777777" w:rsidR="00B741E6" w:rsidRDefault="00B741E6" w:rsidP="005517F2">
      <w:r>
        <w:continuationSeparator/>
      </w:r>
    </w:p>
  </w:footnote>
  <w:footnote w:id="1">
    <w:p w14:paraId="43D28E46" w14:textId="645A37DA" w:rsidR="008D2E4E" w:rsidRDefault="008D2E4E">
      <w:pPr>
        <w:pStyle w:val="FootnoteText"/>
      </w:pPr>
      <w:r>
        <w:rPr>
          <w:rStyle w:val="FootnoteReference"/>
        </w:rPr>
        <w:footnoteRef/>
      </w:r>
      <w:r>
        <w:t xml:space="preserve"> </w:t>
      </w:r>
      <w:hyperlink r:id="rId1" w:history="1">
        <w:r w:rsidRPr="008D2E4E">
          <w:rPr>
            <w:rStyle w:val="Hyperlink"/>
          </w:rPr>
          <w:t>Promoting and claiming social and economic rights</w:t>
        </w:r>
      </w:hyperlink>
    </w:p>
  </w:footnote>
  <w:footnote w:id="2">
    <w:p w14:paraId="04104B2E" w14:textId="143EDD9F" w:rsidR="00760C74" w:rsidRPr="00A945A5" w:rsidRDefault="00760C74">
      <w:pPr>
        <w:pStyle w:val="FootnoteText"/>
        <w:rPr>
          <w:lang w:val="en-US"/>
        </w:rPr>
      </w:pPr>
      <w:r>
        <w:rPr>
          <w:rStyle w:val="FootnoteReference"/>
        </w:rPr>
        <w:footnoteRef/>
      </w:r>
      <w:r>
        <w:t xml:space="preserve"> </w:t>
      </w:r>
      <w:proofErr w:type="spellStart"/>
      <w:r w:rsidRPr="00125141">
        <w:rPr>
          <w:rFonts w:cs="Arial"/>
          <w:i/>
          <w:iCs/>
        </w:rPr>
        <w:t>Slaight</w:t>
      </w:r>
      <w:proofErr w:type="spellEnd"/>
      <w:r w:rsidRPr="00125141">
        <w:rPr>
          <w:rFonts w:cs="Arial"/>
          <w:i/>
          <w:iCs/>
        </w:rPr>
        <w:t xml:space="preserve"> Communications v Davidson</w:t>
      </w:r>
      <w:r>
        <w:rPr>
          <w:rFonts w:cs="Arial"/>
        </w:rPr>
        <w:t xml:space="preserve"> [</w:t>
      </w:r>
      <w:r w:rsidRPr="00125141">
        <w:t>1989] 1 S.C.R. 1038</w:t>
      </w:r>
      <w:r>
        <w:t>, 1056-57.</w:t>
      </w:r>
    </w:p>
  </w:footnote>
  <w:footnote w:id="3">
    <w:p w14:paraId="47DC8D7F" w14:textId="7C49EE4A" w:rsidR="00760C74" w:rsidRPr="00682DC6" w:rsidRDefault="00760C74">
      <w:pPr>
        <w:pStyle w:val="FootnoteText"/>
        <w:rPr>
          <w:lang w:val="en-US"/>
        </w:rPr>
      </w:pPr>
      <w:r>
        <w:rPr>
          <w:rStyle w:val="FootnoteReference"/>
        </w:rPr>
        <w:footnoteRef/>
      </w:r>
      <w:r>
        <w:t xml:space="preserve"> </w:t>
      </w:r>
      <w:r w:rsidRPr="00682DC6">
        <w:rPr>
          <w:i/>
          <w:iCs/>
        </w:rPr>
        <w:t>R. v. Hape,</w:t>
      </w:r>
      <w:r w:rsidRPr="00682DC6">
        <w:t xml:space="preserve"> [2007] 2 S.C.R. 292, 2007 SCC 26</w:t>
      </w:r>
      <w:r>
        <w:t xml:space="preserve"> para 56.</w:t>
      </w:r>
    </w:p>
  </w:footnote>
  <w:footnote w:id="4">
    <w:p w14:paraId="7F3F8D9A" w14:textId="30D6844C" w:rsidR="00760C74" w:rsidRPr="003C6DDD" w:rsidRDefault="00760C74">
      <w:pPr>
        <w:pStyle w:val="FootnoteText"/>
        <w:rPr>
          <w:lang w:val="en-US"/>
        </w:rPr>
      </w:pPr>
      <w:r>
        <w:rPr>
          <w:rStyle w:val="FootnoteReference"/>
        </w:rPr>
        <w:footnoteRef/>
      </w:r>
      <w:r>
        <w:t xml:space="preserve"> </w:t>
      </w:r>
      <w:r w:rsidRPr="000B5147">
        <w:t>Martha Jackman and Bruc</w:t>
      </w:r>
      <w:r>
        <w:t>e</w:t>
      </w:r>
      <w:r w:rsidRPr="000B5147">
        <w:t xml:space="preserve"> Porter, “</w:t>
      </w:r>
      <w:hyperlink r:id="rId2" w:history="1">
        <w:r w:rsidRPr="000B5147">
          <w:rPr>
            <w:rStyle w:val="Hyperlink"/>
          </w:rPr>
          <w:t>Social and Economic Rights</w:t>
        </w:r>
      </w:hyperlink>
      <w:r w:rsidRPr="000B5147">
        <w:t>”, in Peter Oliver, Patrick Maklem &amp; Nathalie DesRosiers, eds, </w:t>
      </w:r>
      <w:r w:rsidRPr="000B5147">
        <w:rPr>
          <w:i/>
          <w:iCs/>
        </w:rPr>
        <w:t>The Oxford Handbook of the Canadian Constitution</w:t>
      </w:r>
      <w:r w:rsidRPr="000B5147">
        <w:t> (New York: Oxford University Press, 2017) 843-861.</w:t>
      </w:r>
    </w:p>
  </w:footnote>
  <w:footnote w:id="5">
    <w:p w14:paraId="703D61C1" w14:textId="7266E849" w:rsidR="00760C74" w:rsidRPr="00E320C5" w:rsidRDefault="00760C74">
      <w:pPr>
        <w:pStyle w:val="FootnoteText"/>
        <w:rPr>
          <w:lang w:val="en-US"/>
        </w:rPr>
      </w:pPr>
      <w:r>
        <w:rPr>
          <w:rStyle w:val="FootnoteReference"/>
        </w:rPr>
        <w:footnoteRef/>
      </w:r>
      <w:r>
        <w:t xml:space="preserve"> </w:t>
      </w:r>
      <w:r w:rsidRPr="00E320C5">
        <w:rPr>
          <w:i/>
          <w:iCs/>
        </w:rPr>
        <w:t>Gosselin v. Quebec (Attorney General)</w:t>
      </w:r>
      <w:r w:rsidRPr="00E320C5">
        <w:t>, [2002] 4 S.C.R. 429, 2002 SCC 84</w:t>
      </w:r>
    </w:p>
  </w:footnote>
  <w:footnote w:id="6">
    <w:p w14:paraId="11EAA508" w14:textId="77777777" w:rsidR="00760C74" w:rsidRPr="003E594E" w:rsidRDefault="00760C74" w:rsidP="00F51710">
      <w:pPr>
        <w:pStyle w:val="FootnoteText"/>
        <w:rPr>
          <w:rFonts w:ascii="Times New Roman" w:hAnsi="Times New Roman"/>
        </w:rPr>
      </w:pPr>
      <w:r w:rsidRPr="003E594E">
        <w:rPr>
          <w:rStyle w:val="FootnoteReference"/>
        </w:rPr>
        <w:footnoteRef/>
      </w:r>
      <w:r w:rsidRPr="003E594E">
        <w:rPr>
          <w:rFonts w:ascii="Times New Roman" w:hAnsi="Times New Roman"/>
        </w:rPr>
        <w:t xml:space="preserve"> </w:t>
      </w:r>
      <w:r w:rsidRPr="003E594E">
        <w:rPr>
          <w:rFonts w:ascii="Times New Roman" w:hAnsi="Times New Roman"/>
          <w:i/>
          <w:iCs/>
        </w:rPr>
        <w:t>Chaoulli v. Quebec (Attorney General)</w:t>
      </w:r>
      <w:r w:rsidRPr="003E594E">
        <w:rPr>
          <w:rFonts w:ascii="Times New Roman" w:hAnsi="Times New Roman"/>
        </w:rPr>
        <w:t>, [2005] 1 S.C.R. 791</w:t>
      </w:r>
    </w:p>
  </w:footnote>
  <w:footnote w:id="7">
    <w:p w14:paraId="71C9D2F5" w14:textId="77777777" w:rsidR="00760C74" w:rsidRPr="003E594E" w:rsidRDefault="00760C74" w:rsidP="00F51710">
      <w:pPr>
        <w:pStyle w:val="FootnoteText"/>
        <w:rPr>
          <w:rFonts w:ascii="Times New Roman" w:hAnsi="Times New Roman"/>
        </w:rPr>
      </w:pPr>
      <w:r w:rsidRPr="003E594E">
        <w:rPr>
          <w:rStyle w:val="FootnoteReference"/>
        </w:rPr>
        <w:footnoteRef/>
      </w:r>
      <w:r w:rsidRPr="003E594E">
        <w:rPr>
          <w:rFonts w:ascii="Times New Roman" w:hAnsi="Times New Roman"/>
        </w:rPr>
        <w:t xml:space="preserve"> </w:t>
      </w:r>
      <w:r w:rsidRPr="003461F1">
        <w:rPr>
          <w:rFonts w:ascii="Times New Roman" w:hAnsi="Times New Roman"/>
        </w:rPr>
        <w:t xml:space="preserve">Ibid </w:t>
      </w:r>
      <w:r w:rsidRPr="003E594E">
        <w:rPr>
          <w:rFonts w:ascii="Times New Roman" w:hAnsi="Times New Roman"/>
        </w:rPr>
        <w:t>para 104.</w:t>
      </w:r>
    </w:p>
  </w:footnote>
  <w:footnote w:id="8">
    <w:p w14:paraId="7E30E996" w14:textId="7B975C53" w:rsidR="00760C74" w:rsidRPr="00760C74" w:rsidRDefault="00760C74">
      <w:pPr>
        <w:pStyle w:val="FootnoteText"/>
        <w:rPr>
          <w:lang w:val="en-US"/>
        </w:rPr>
      </w:pPr>
      <w:r>
        <w:rPr>
          <w:rStyle w:val="FootnoteReference"/>
        </w:rPr>
        <w:footnoteRef/>
      </w:r>
      <w:r>
        <w:t xml:space="preserve"> </w:t>
      </w:r>
      <w:r w:rsidRPr="00B86BFF">
        <w:rPr>
          <w:rFonts w:cs="Arial"/>
          <w:i/>
          <w:iCs/>
        </w:rPr>
        <w:t>Toussaint v. Canada (Attorney General), 2011 FCA 213</w:t>
      </w:r>
      <w:r>
        <w:rPr>
          <w:rFonts w:cs="Arial"/>
        </w:rPr>
        <w:t>.</w:t>
      </w:r>
    </w:p>
  </w:footnote>
  <w:footnote w:id="9">
    <w:p w14:paraId="0A894A24" w14:textId="2AE8130E" w:rsidR="00760C74" w:rsidRPr="00760C74" w:rsidRDefault="00760C74">
      <w:pPr>
        <w:pStyle w:val="FootnoteText"/>
        <w:rPr>
          <w:lang w:val="en-US"/>
        </w:rPr>
      </w:pPr>
      <w:r>
        <w:rPr>
          <w:rStyle w:val="FootnoteReference"/>
        </w:rPr>
        <w:footnoteRef/>
      </w:r>
      <w:r>
        <w:t xml:space="preserve"> </w:t>
      </w:r>
      <w:r>
        <w:rPr>
          <w:lang w:val="en-US"/>
        </w:rPr>
        <w:t>Ibid, paras 76 – 79.</w:t>
      </w:r>
    </w:p>
  </w:footnote>
  <w:footnote w:id="10">
    <w:p w14:paraId="4593D4B6" w14:textId="33C5C2E3" w:rsidR="00760C74" w:rsidRPr="00760C74" w:rsidRDefault="00760C74">
      <w:pPr>
        <w:pStyle w:val="FootnoteText"/>
        <w:rPr>
          <w:lang w:val="en-US"/>
        </w:rPr>
      </w:pPr>
      <w:r>
        <w:rPr>
          <w:rStyle w:val="FootnoteReference"/>
        </w:rPr>
        <w:footnoteRef/>
      </w:r>
      <w:r>
        <w:t xml:space="preserve"> </w:t>
      </w:r>
      <w:r w:rsidRPr="003E594E">
        <w:rPr>
          <w:rFonts w:ascii="Times New Roman" w:hAnsi="Times New Roman"/>
          <w:i/>
          <w:iCs/>
        </w:rPr>
        <w:t>Canadian Doctors for Refugee Care v. Canada (Attorney general),</w:t>
      </w:r>
      <w:r w:rsidRPr="003E594E">
        <w:rPr>
          <w:rFonts w:ascii="Times New Roman" w:hAnsi="Times New Roman"/>
        </w:rPr>
        <w:t xml:space="preserve"> 2014 FC 651</w:t>
      </w:r>
      <w:r>
        <w:rPr>
          <w:rFonts w:ascii="Times New Roman" w:hAnsi="Times New Roman"/>
        </w:rPr>
        <w:t>.</w:t>
      </w:r>
    </w:p>
  </w:footnote>
  <w:footnote w:id="11">
    <w:p w14:paraId="5213AA92" w14:textId="013DA604" w:rsidR="00ED26B0" w:rsidRPr="00ED26B0" w:rsidRDefault="00ED26B0">
      <w:pPr>
        <w:pStyle w:val="FootnoteText"/>
        <w:rPr>
          <w:rFonts w:ascii="Times New Roman" w:hAnsi="Times New Roman"/>
        </w:rPr>
      </w:pPr>
      <w:r>
        <w:rPr>
          <w:rStyle w:val="FootnoteReference"/>
        </w:rPr>
        <w:footnoteRef/>
      </w:r>
      <w:r>
        <w:t xml:space="preserve"> </w:t>
      </w:r>
      <w:r w:rsidRPr="00947C44">
        <w:rPr>
          <w:rFonts w:ascii="Times New Roman" w:hAnsi="Times New Roman"/>
        </w:rPr>
        <w:t xml:space="preserve">Submission </w:t>
      </w:r>
      <w:r>
        <w:rPr>
          <w:rFonts w:ascii="Times New Roman" w:hAnsi="Times New Roman"/>
        </w:rPr>
        <w:t>o</w:t>
      </w:r>
      <w:r w:rsidRPr="00947C44">
        <w:rPr>
          <w:rFonts w:ascii="Times New Roman" w:hAnsi="Times New Roman"/>
        </w:rPr>
        <w:t>f The Government Of Canada</w:t>
      </w:r>
      <w:r>
        <w:rPr>
          <w:rFonts w:ascii="Times New Roman" w:hAnsi="Times New Roman"/>
        </w:rPr>
        <w:t xml:space="preserve"> o</w:t>
      </w:r>
      <w:r w:rsidRPr="00947C44">
        <w:rPr>
          <w:rFonts w:ascii="Times New Roman" w:hAnsi="Times New Roman"/>
        </w:rPr>
        <w:t xml:space="preserve">n </w:t>
      </w:r>
      <w:r>
        <w:rPr>
          <w:rFonts w:ascii="Times New Roman" w:hAnsi="Times New Roman"/>
        </w:rPr>
        <w:t>t</w:t>
      </w:r>
      <w:r w:rsidRPr="00947C44">
        <w:rPr>
          <w:rFonts w:ascii="Times New Roman" w:hAnsi="Times New Roman"/>
        </w:rPr>
        <w:t xml:space="preserve">he Admissibility </w:t>
      </w:r>
      <w:r>
        <w:rPr>
          <w:rFonts w:ascii="Times New Roman" w:hAnsi="Times New Roman"/>
        </w:rPr>
        <w:t>a</w:t>
      </w:r>
      <w:r w:rsidRPr="00947C44">
        <w:rPr>
          <w:rFonts w:ascii="Times New Roman" w:hAnsi="Times New Roman"/>
        </w:rPr>
        <w:t xml:space="preserve">nd Merits </w:t>
      </w:r>
      <w:r>
        <w:rPr>
          <w:rFonts w:ascii="Times New Roman" w:hAnsi="Times New Roman"/>
        </w:rPr>
        <w:t>o</w:t>
      </w:r>
      <w:r w:rsidRPr="00947C44">
        <w:rPr>
          <w:rFonts w:ascii="Times New Roman" w:hAnsi="Times New Roman"/>
        </w:rPr>
        <w:t xml:space="preserve">f </w:t>
      </w:r>
      <w:r>
        <w:rPr>
          <w:rFonts w:ascii="Times New Roman" w:hAnsi="Times New Roman"/>
        </w:rPr>
        <w:t>t</w:t>
      </w:r>
      <w:r w:rsidRPr="00947C44">
        <w:rPr>
          <w:rFonts w:ascii="Times New Roman" w:hAnsi="Times New Roman"/>
        </w:rPr>
        <w:t>he Communication</w:t>
      </w:r>
      <w:r>
        <w:rPr>
          <w:rFonts w:ascii="Times New Roman" w:hAnsi="Times New Roman"/>
        </w:rPr>
        <w:t xml:space="preserve"> t</w:t>
      </w:r>
      <w:r w:rsidRPr="00947C44">
        <w:rPr>
          <w:rFonts w:ascii="Times New Roman" w:hAnsi="Times New Roman"/>
        </w:rPr>
        <w:t xml:space="preserve">o </w:t>
      </w:r>
      <w:r>
        <w:rPr>
          <w:rFonts w:ascii="Times New Roman" w:hAnsi="Times New Roman"/>
        </w:rPr>
        <w:t>t</w:t>
      </w:r>
      <w:r w:rsidRPr="00947C44">
        <w:rPr>
          <w:rFonts w:ascii="Times New Roman" w:hAnsi="Times New Roman"/>
        </w:rPr>
        <w:t xml:space="preserve">he Human Rights Committee </w:t>
      </w:r>
      <w:r>
        <w:rPr>
          <w:rFonts w:ascii="Times New Roman" w:hAnsi="Times New Roman"/>
        </w:rPr>
        <w:t xml:space="preserve">of </w:t>
      </w:r>
      <w:r w:rsidRPr="00947C44">
        <w:rPr>
          <w:rFonts w:ascii="Times New Roman" w:hAnsi="Times New Roman"/>
        </w:rPr>
        <w:t>Nell Toussaint</w:t>
      </w:r>
      <w:r>
        <w:rPr>
          <w:rFonts w:ascii="Times New Roman" w:hAnsi="Times New Roman"/>
        </w:rPr>
        <w:t xml:space="preserve"> </w:t>
      </w:r>
      <w:r w:rsidRPr="00947C44">
        <w:rPr>
          <w:rFonts w:ascii="Times New Roman" w:hAnsi="Times New Roman"/>
        </w:rPr>
        <w:t>Communication No. 2348/2014</w:t>
      </w:r>
      <w:r>
        <w:rPr>
          <w:rFonts w:ascii="Times New Roman" w:hAnsi="Times New Roman"/>
        </w:rPr>
        <w:t xml:space="preserve">’ (2 </w:t>
      </w:r>
      <w:r w:rsidRPr="00947C44">
        <w:rPr>
          <w:rFonts w:ascii="Times New Roman" w:hAnsi="Times New Roman"/>
        </w:rPr>
        <w:t>April 2015</w:t>
      </w:r>
      <w:r>
        <w:rPr>
          <w:rFonts w:ascii="Times New Roman" w:hAnsi="Times New Roman"/>
        </w:rPr>
        <w:t xml:space="preserve">) paras 21, 95. </w:t>
      </w:r>
      <w:r w:rsidRPr="009F2A08">
        <w:rPr>
          <w:rFonts w:ascii="Times New Roman" w:hAnsi="Times New Roman"/>
        </w:rPr>
        <w:t>&lt;</w:t>
      </w:r>
      <w:hyperlink r:id="rId3" w:history="1">
        <w:r w:rsidRPr="003E419E">
          <w:rPr>
            <w:rStyle w:val="Hyperlink"/>
            <w:rFonts w:ascii="Times New Roman" w:hAnsi="Times New Roman"/>
          </w:rPr>
          <w:t>http://www.socialrightscura.ca/documents/legal/tousaint%20IFBH/Canada%20-%20Submissions%20on%20Merits.pdf</w:t>
        </w:r>
      </w:hyperlink>
      <w:r w:rsidRPr="003E419E">
        <w:rPr>
          <w:rFonts w:ascii="Times New Roman" w:hAnsi="Times New Roman"/>
        </w:rPr>
        <w:t>&gt;</w:t>
      </w:r>
    </w:p>
  </w:footnote>
  <w:footnote w:id="12">
    <w:p w14:paraId="57C7B7BB" w14:textId="6BE32D05" w:rsidR="00ED26B0" w:rsidRPr="00ED26B0" w:rsidRDefault="00ED26B0">
      <w:pPr>
        <w:pStyle w:val="FootnoteText"/>
        <w:rPr>
          <w:lang w:val="en-US"/>
        </w:rPr>
      </w:pPr>
      <w:r>
        <w:rPr>
          <w:rStyle w:val="FootnoteReference"/>
        </w:rPr>
        <w:footnoteRef/>
      </w:r>
      <w:r>
        <w:t xml:space="preserve"> </w:t>
      </w:r>
      <w:hyperlink r:id="rId4" w:history="1">
        <w:r w:rsidRPr="009B1F3F">
          <w:rPr>
            <w:rStyle w:val="Hyperlink"/>
            <w:rFonts w:ascii="Times New Roman" w:hAnsi="Times New Roman"/>
            <w:i/>
            <w:iCs/>
          </w:rPr>
          <w:t>Nell Toussaint v Canada</w:t>
        </w:r>
        <w:r w:rsidRPr="009B1F3F">
          <w:rPr>
            <w:rStyle w:val="Hyperlink"/>
            <w:rFonts w:ascii="Times New Roman" w:hAnsi="Times New Roman"/>
          </w:rPr>
          <w:t xml:space="preserve"> Communication No. 2348/2014</w:t>
        </w:r>
      </w:hyperlink>
      <w:r>
        <w:rPr>
          <w:rFonts w:ascii="Times New Roman" w:hAnsi="Times New Roman"/>
        </w:rPr>
        <w:t xml:space="preserve"> (2 </w:t>
      </w:r>
      <w:r w:rsidRPr="00947C44">
        <w:rPr>
          <w:rFonts w:ascii="Times New Roman" w:hAnsi="Times New Roman"/>
        </w:rPr>
        <w:t>April 2015</w:t>
      </w:r>
      <w:r>
        <w:rPr>
          <w:rFonts w:ascii="Times New Roman" w:hAnsi="Times New Roman"/>
        </w:rPr>
        <w:t xml:space="preserve">) </w:t>
      </w:r>
      <w:r w:rsidRPr="003461F1">
        <w:rPr>
          <w:rFonts w:ascii="Times New Roman" w:hAnsi="Times New Roman"/>
        </w:rPr>
        <w:t xml:space="preserve"> </w:t>
      </w:r>
      <w:r w:rsidRPr="009B1F3F">
        <w:rPr>
          <w:rFonts w:ascii="Times New Roman" w:hAnsi="Times New Roman"/>
        </w:rPr>
        <w:t>CCPR/C/123/D/2348/2014</w:t>
      </w:r>
      <w:r>
        <w:rPr>
          <w:rFonts w:ascii="Times New Roman" w:hAnsi="Times New Roman"/>
        </w:rPr>
        <w:t xml:space="preserve"> </w:t>
      </w:r>
      <w:r w:rsidRPr="003461F1">
        <w:rPr>
          <w:rFonts w:ascii="Times New Roman" w:hAnsi="Times New Roman"/>
        </w:rPr>
        <w:t>para 10.9</w:t>
      </w:r>
      <w:r>
        <w:rPr>
          <w:rFonts w:ascii="Times New Roman" w:hAnsi="Times New Roman"/>
        </w:rPr>
        <w:t>.</w:t>
      </w:r>
    </w:p>
  </w:footnote>
  <w:footnote w:id="13">
    <w:p w14:paraId="650EA7AC" w14:textId="7EDFCA61" w:rsidR="00ED26B0" w:rsidRPr="00B604D1" w:rsidRDefault="00ED26B0">
      <w:pPr>
        <w:pStyle w:val="FootnoteText"/>
        <w:rPr>
          <w:rFonts w:ascii="Times New Roman" w:hAnsi="Times New Roman"/>
        </w:rPr>
      </w:pPr>
      <w:r>
        <w:rPr>
          <w:rStyle w:val="FootnoteReference"/>
        </w:rPr>
        <w:footnoteRef/>
      </w:r>
      <w:r>
        <w:t xml:space="preserve"> </w:t>
      </w:r>
      <w:r w:rsidRPr="003461F1">
        <w:rPr>
          <w:rFonts w:ascii="Times New Roman" w:hAnsi="Times New Roman"/>
        </w:rPr>
        <w:t>Ibid, para 10.9</w:t>
      </w:r>
      <w:r w:rsidR="00B604D1">
        <w:rPr>
          <w:rFonts w:ascii="Times New Roman" w:hAnsi="Times New Roman"/>
        </w:rPr>
        <w:t>.</w:t>
      </w:r>
    </w:p>
  </w:footnote>
  <w:footnote w:id="14">
    <w:p w14:paraId="6138B934" w14:textId="5D3A73B5" w:rsidR="00ED26B0" w:rsidRPr="00ED26B0" w:rsidRDefault="00ED26B0">
      <w:pPr>
        <w:pStyle w:val="FootnoteText"/>
        <w:rPr>
          <w:lang w:val="en-US"/>
        </w:rPr>
      </w:pPr>
      <w:r>
        <w:rPr>
          <w:rStyle w:val="FootnoteReference"/>
        </w:rPr>
        <w:footnoteRef/>
      </w:r>
      <w:r>
        <w:t xml:space="preserve"> </w:t>
      </w:r>
      <w:bookmarkStart w:id="28" w:name="_Hlk32197550"/>
      <w:r w:rsidRPr="005336DF">
        <w:rPr>
          <w:rFonts w:ascii="Times New Roman" w:hAnsi="Times New Roman"/>
          <w:i/>
          <w:iCs/>
        </w:rPr>
        <w:t>Nell Toussaint v Canada</w:t>
      </w:r>
      <w:r>
        <w:rPr>
          <w:rFonts w:ascii="Times New Roman" w:hAnsi="Times New Roman"/>
        </w:rPr>
        <w:t xml:space="preserve">  </w:t>
      </w:r>
      <w:r w:rsidRPr="00947C44">
        <w:rPr>
          <w:rFonts w:ascii="Times New Roman" w:hAnsi="Times New Roman"/>
        </w:rPr>
        <w:t>Communication No. 2348/2014</w:t>
      </w:r>
      <w:r>
        <w:rPr>
          <w:rFonts w:ascii="Times New Roman" w:hAnsi="Times New Roman"/>
        </w:rPr>
        <w:t xml:space="preserve">’ (2 </w:t>
      </w:r>
      <w:r w:rsidRPr="00947C44">
        <w:rPr>
          <w:rFonts w:ascii="Times New Roman" w:hAnsi="Times New Roman"/>
        </w:rPr>
        <w:t>April 2015</w:t>
      </w:r>
      <w:r>
        <w:rPr>
          <w:rFonts w:ascii="Times New Roman" w:hAnsi="Times New Roman"/>
        </w:rPr>
        <w:t xml:space="preserve">) </w:t>
      </w:r>
      <w:bookmarkEnd w:id="28"/>
      <w:r>
        <w:rPr>
          <w:rFonts w:ascii="Times New Roman" w:hAnsi="Times New Roman"/>
        </w:rPr>
        <w:t>para 13.</w:t>
      </w:r>
    </w:p>
  </w:footnote>
  <w:footnote w:id="15">
    <w:p w14:paraId="3FDA950E" w14:textId="77777777" w:rsidR="008A0F79" w:rsidRPr="00C4262C" w:rsidRDefault="008A0F79" w:rsidP="008A0F79">
      <w:pPr>
        <w:pStyle w:val="FootnoteText"/>
        <w:rPr>
          <w:lang w:val="en-US"/>
        </w:rPr>
      </w:pPr>
      <w:r>
        <w:rPr>
          <w:rStyle w:val="FootnoteReference"/>
        </w:rPr>
        <w:footnoteRef/>
      </w:r>
      <w:r>
        <w:t xml:space="preserve"> </w:t>
      </w:r>
      <w:r w:rsidRPr="000009B0">
        <w:rPr>
          <w:rFonts w:ascii="Open Sans Light" w:hAnsi="Open Sans Light" w:cs="Open Sans Light"/>
          <w:i/>
          <w:iCs/>
          <w:color w:val="000000" w:themeColor="text1"/>
          <w:sz w:val="18"/>
        </w:rPr>
        <w:t>Child and Family Caring Society of Canada et al v Attorney General of Canada (for the Minister of Indian and Northern Affairs Canada)</w:t>
      </w:r>
      <w:r w:rsidRPr="000009B0">
        <w:rPr>
          <w:rFonts w:ascii="Open Sans Light" w:hAnsi="Open Sans Light" w:cs="Open Sans Light"/>
          <w:color w:val="000000" w:themeColor="text1"/>
          <w:sz w:val="18"/>
        </w:rPr>
        <w:t xml:space="preserve"> (26 January 2016), online: CHRT &lt;</w:t>
      </w:r>
      <w:hyperlink r:id="rId5" w:history="1">
        <w:r w:rsidRPr="000009B0">
          <w:rPr>
            <w:rStyle w:val="Hyperlink"/>
            <w:rFonts w:ascii="Open Sans Light" w:hAnsi="Open Sans Light" w:cs="Open Sans Light"/>
            <w:color w:val="000000" w:themeColor="text1"/>
            <w:sz w:val="18"/>
          </w:rPr>
          <w:t>canlii.ca/t/gn2vg</w:t>
        </w:r>
      </w:hyperlink>
      <w:r w:rsidRPr="000009B0">
        <w:rPr>
          <w:rFonts w:ascii="Open Sans Light" w:hAnsi="Open Sans Light" w:cs="Open Sans Light"/>
          <w:color w:val="000000" w:themeColor="text1"/>
          <w:sz w:val="18"/>
        </w:rPr>
        <w:t>&gt;.</w:t>
      </w:r>
    </w:p>
  </w:footnote>
  <w:footnote w:id="16">
    <w:p w14:paraId="3F950BC2" w14:textId="77777777" w:rsidR="008A0F79" w:rsidRPr="00606B02" w:rsidRDefault="008A0F79" w:rsidP="008A0F79">
      <w:pPr>
        <w:pStyle w:val="FootnoteText"/>
        <w:rPr>
          <w:lang w:val="en-US"/>
        </w:rPr>
      </w:pPr>
      <w:r>
        <w:rPr>
          <w:rStyle w:val="FootnoteReference"/>
        </w:rPr>
        <w:footnoteRef/>
      </w:r>
      <w:r>
        <w:t xml:space="preserve"> </w:t>
      </w:r>
      <w:hyperlink r:id="rId6" w:history="1">
        <w:r w:rsidRPr="0096271E">
          <w:rPr>
            <w:rStyle w:val="Hyperlink"/>
            <w:i/>
            <w:iCs/>
            <w:lang w:val="en-US"/>
          </w:rPr>
          <w:t>MacLean v. Nova Scotia (Attorney General)</w:t>
        </w:r>
      </w:hyperlink>
      <w:r w:rsidRPr="00923748">
        <w:rPr>
          <w:lang w:val="en-US"/>
        </w:rPr>
        <w:t>, [2019] N.S.H.R.B.I.D. No. 2</w:t>
      </w:r>
      <w:r>
        <w:rPr>
          <w:b/>
          <w:bCs/>
          <w:i/>
          <w:iCs/>
          <w:lang w:val="en-US"/>
        </w:rPr>
        <w:t xml:space="preserve"> </w:t>
      </w:r>
      <w:r w:rsidRPr="00923748">
        <w:rPr>
          <w:lang w:val="en-US"/>
        </w:rPr>
        <w:t>paras</w:t>
      </w:r>
      <w:r>
        <w:rPr>
          <w:b/>
          <w:bCs/>
          <w:i/>
          <w:iCs/>
          <w:lang w:val="en-US"/>
        </w:rPr>
        <w:t xml:space="preserve"> </w:t>
      </w:r>
      <w:r>
        <w:t>469-475.</w:t>
      </w:r>
    </w:p>
  </w:footnote>
  <w:footnote w:id="17">
    <w:p w14:paraId="1E49D332" w14:textId="416D5CB5" w:rsidR="00760C74" w:rsidRPr="00715BF4" w:rsidRDefault="00760C74">
      <w:pPr>
        <w:pStyle w:val="FootnoteText"/>
        <w:rPr>
          <w:lang w:val="en-US"/>
        </w:rPr>
      </w:pPr>
      <w:r>
        <w:rPr>
          <w:rStyle w:val="FootnoteReference"/>
        </w:rPr>
        <w:footnoteRef/>
      </w:r>
      <w:r>
        <w:t xml:space="preserve"> </w:t>
      </w:r>
      <w:r w:rsidRPr="00715BF4">
        <w:t>Federal-Provincial-Territorial Meeting of Ministers Responsible for Human Rights</w:t>
      </w:r>
      <w:r>
        <w:t xml:space="preserve">, Media Statement (December 12, 2019) online </w:t>
      </w:r>
      <w:hyperlink r:id="rId7" w:history="1">
        <w:r>
          <w:rPr>
            <w:rStyle w:val="Hyperlink"/>
          </w:rPr>
          <w:t>https://scics.ca/en/product-produit/news-release-federal-provincial-and-territorial-ministers-from-across-the-country-gather-to-discuss-human-rights/</w:t>
        </w:r>
      </w:hyperlink>
    </w:p>
  </w:footnote>
  <w:footnote w:id="18">
    <w:p w14:paraId="06B627EC" w14:textId="77777777" w:rsidR="00334353" w:rsidRPr="00950508" w:rsidRDefault="00334353" w:rsidP="00334353">
      <w:pPr>
        <w:pStyle w:val="FootnoteText"/>
        <w:rPr>
          <w:lang w:val="en-US"/>
        </w:rPr>
      </w:pPr>
      <w:r>
        <w:rPr>
          <w:rStyle w:val="FootnoteReference"/>
        </w:rPr>
        <w:footnoteRef/>
      </w:r>
      <w:r>
        <w:t xml:space="preserve"> </w:t>
      </w:r>
      <w:r>
        <w:rPr>
          <w:lang w:val="en-US"/>
        </w:rPr>
        <w:t xml:space="preserve">Online at </w:t>
      </w:r>
      <w:hyperlink r:id="rId8" w:history="1">
        <w:r>
          <w:rPr>
            <w:rStyle w:val="Hyperlink"/>
          </w:rPr>
          <w:t>https://scics.ca/en/product-produit/agreement-a-framework-to-improve-the-social-union-for-canadians/</w:t>
        </w:r>
      </w:hyperlink>
    </w:p>
    <w:p w14:paraId="3243B559" w14:textId="15264AF9" w:rsidR="00334353" w:rsidRPr="00334353" w:rsidRDefault="0033435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0C4"/>
    <w:multiLevelType w:val="hybridMultilevel"/>
    <w:tmpl w:val="896A0EA8"/>
    <w:lvl w:ilvl="0" w:tplc="250EE2F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C663A8"/>
    <w:multiLevelType w:val="hybridMultilevel"/>
    <w:tmpl w:val="896A0EA8"/>
    <w:lvl w:ilvl="0" w:tplc="250EE2F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F94F3E"/>
    <w:multiLevelType w:val="hybridMultilevel"/>
    <w:tmpl w:val="7974FA84"/>
    <w:lvl w:ilvl="0" w:tplc="C8C4A4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74010F"/>
    <w:multiLevelType w:val="hybridMultilevel"/>
    <w:tmpl w:val="F74E0D1C"/>
    <w:lvl w:ilvl="0" w:tplc="CC021E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6F0540"/>
    <w:multiLevelType w:val="hybridMultilevel"/>
    <w:tmpl w:val="44BE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E35FD"/>
    <w:multiLevelType w:val="hybridMultilevel"/>
    <w:tmpl w:val="D554A304"/>
    <w:lvl w:ilvl="0" w:tplc="1009000F">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E963C9"/>
    <w:multiLevelType w:val="hybridMultilevel"/>
    <w:tmpl w:val="7974FC52"/>
    <w:lvl w:ilvl="0" w:tplc="DF2E860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EF5737"/>
    <w:multiLevelType w:val="hybridMultilevel"/>
    <w:tmpl w:val="EDD00544"/>
    <w:lvl w:ilvl="0" w:tplc="688C5980">
      <w:start w:val="1"/>
      <w:numFmt w:val="decimal"/>
      <w:lvlText w:val="%1."/>
      <w:lvlJc w:val="left"/>
      <w:pPr>
        <w:ind w:left="0" w:firstLine="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0EC347D"/>
    <w:multiLevelType w:val="hybridMultilevel"/>
    <w:tmpl w:val="26F00F74"/>
    <w:lvl w:ilvl="0" w:tplc="1009000F">
      <w:start w:val="1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D27B69"/>
    <w:multiLevelType w:val="hybridMultilevel"/>
    <w:tmpl w:val="9A264E2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BE30B7"/>
    <w:multiLevelType w:val="hybridMultilevel"/>
    <w:tmpl w:val="60620788"/>
    <w:lvl w:ilvl="0" w:tplc="DF86DAC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C53C4"/>
    <w:multiLevelType w:val="hybridMultilevel"/>
    <w:tmpl w:val="896A0EA8"/>
    <w:lvl w:ilvl="0" w:tplc="250EE2F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98326B"/>
    <w:multiLevelType w:val="hybridMultilevel"/>
    <w:tmpl w:val="88AE1A3C"/>
    <w:lvl w:ilvl="0" w:tplc="8064E5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E0E57"/>
    <w:multiLevelType w:val="hybridMultilevel"/>
    <w:tmpl w:val="F2FC3518"/>
    <w:lvl w:ilvl="0" w:tplc="1009000F">
      <w:start w:val="1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1393B46"/>
    <w:multiLevelType w:val="hybridMultilevel"/>
    <w:tmpl w:val="2E526A74"/>
    <w:lvl w:ilvl="0" w:tplc="1116FD68">
      <w:start w:val="7"/>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B5E8A"/>
    <w:multiLevelType w:val="hybridMultilevel"/>
    <w:tmpl w:val="A832F252"/>
    <w:lvl w:ilvl="0" w:tplc="53E25C7E">
      <w:start w:val="2"/>
      <w:numFmt w:val="decimal"/>
      <w:lvlText w:val="%1."/>
      <w:lvlJc w:val="left"/>
      <w:pPr>
        <w:ind w:left="720" w:hanging="360"/>
      </w:pPr>
      <w:rPr>
        <w:rFonts w:ascii="Cambria" w:hAnsi="Cambria" w:cs="Times New Roman" w:hint="default"/>
        <w:b/>
        <w:color w:val="2DA2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0553A"/>
    <w:multiLevelType w:val="hybridMultilevel"/>
    <w:tmpl w:val="B036AF90"/>
    <w:lvl w:ilvl="0" w:tplc="7EB8BC12">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6659C"/>
    <w:multiLevelType w:val="hybridMultilevel"/>
    <w:tmpl w:val="CEF63BAC"/>
    <w:lvl w:ilvl="0" w:tplc="87D6A2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DD8"/>
    <w:multiLevelType w:val="hybridMultilevel"/>
    <w:tmpl w:val="A776080A"/>
    <w:lvl w:ilvl="0" w:tplc="1009000F">
      <w:start w:val="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AB73A4D"/>
    <w:multiLevelType w:val="hybridMultilevel"/>
    <w:tmpl w:val="AE78C39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BE5C91"/>
    <w:multiLevelType w:val="hybridMultilevel"/>
    <w:tmpl w:val="4C862D2E"/>
    <w:lvl w:ilvl="0" w:tplc="723A7992">
      <w:start w:val="4"/>
      <w:numFmt w:val="decimal"/>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143BF4"/>
    <w:multiLevelType w:val="hybridMultilevel"/>
    <w:tmpl w:val="AB44D192"/>
    <w:lvl w:ilvl="0" w:tplc="0518C0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5121FD"/>
    <w:multiLevelType w:val="hybridMultilevel"/>
    <w:tmpl w:val="72CED5E0"/>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CC567E5"/>
    <w:multiLevelType w:val="hybridMultilevel"/>
    <w:tmpl w:val="896A0EA8"/>
    <w:lvl w:ilvl="0" w:tplc="250EE2F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60094596">
    <w:abstractNumId w:val="19"/>
  </w:num>
  <w:num w:numId="2" w16cid:durableId="1713067150">
    <w:abstractNumId w:val="7"/>
  </w:num>
  <w:num w:numId="3" w16cid:durableId="1129516004">
    <w:abstractNumId w:val="9"/>
  </w:num>
  <w:num w:numId="4" w16cid:durableId="1319964266">
    <w:abstractNumId w:val="23"/>
  </w:num>
  <w:num w:numId="5" w16cid:durableId="1585332523">
    <w:abstractNumId w:val="3"/>
  </w:num>
  <w:num w:numId="6" w16cid:durableId="156655380">
    <w:abstractNumId w:val="6"/>
  </w:num>
  <w:num w:numId="7" w16cid:durableId="535195108">
    <w:abstractNumId w:val="20"/>
  </w:num>
  <w:num w:numId="8" w16cid:durableId="942418882">
    <w:abstractNumId w:val="22"/>
  </w:num>
  <w:num w:numId="9" w16cid:durableId="1830630370">
    <w:abstractNumId w:val="5"/>
  </w:num>
  <w:num w:numId="10" w16cid:durableId="847603802">
    <w:abstractNumId w:val="8"/>
  </w:num>
  <w:num w:numId="11" w16cid:durableId="738360410">
    <w:abstractNumId w:val="13"/>
  </w:num>
  <w:num w:numId="12" w16cid:durableId="515920228">
    <w:abstractNumId w:val="18"/>
  </w:num>
  <w:num w:numId="13" w16cid:durableId="398600829">
    <w:abstractNumId w:val="21"/>
  </w:num>
  <w:num w:numId="14" w16cid:durableId="1776486119">
    <w:abstractNumId w:val="17"/>
  </w:num>
  <w:num w:numId="15" w16cid:durableId="2077437967">
    <w:abstractNumId w:val="10"/>
  </w:num>
  <w:num w:numId="16" w16cid:durableId="1803426023">
    <w:abstractNumId w:val="16"/>
  </w:num>
  <w:num w:numId="17" w16cid:durableId="1795560034">
    <w:abstractNumId w:val="15"/>
  </w:num>
  <w:num w:numId="18" w16cid:durableId="215432502">
    <w:abstractNumId w:val="4"/>
  </w:num>
  <w:num w:numId="19" w16cid:durableId="1230270769">
    <w:abstractNumId w:val="12"/>
  </w:num>
  <w:num w:numId="20" w16cid:durableId="1575552879">
    <w:abstractNumId w:val="2"/>
  </w:num>
  <w:num w:numId="21" w16cid:durableId="60032438">
    <w:abstractNumId w:val="11"/>
  </w:num>
  <w:num w:numId="22" w16cid:durableId="867790635">
    <w:abstractNumId w:val="0"/>
  </w:num>
  <w:num w:numId="23" w16cid:durableId="1920015549">
    <w:abstractNumId w:val="14"/>
  </w:num>
  <w:num w:numId="24" w16cid:durableId="209840270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50" style="mso-position-horizontal-relative:margin;mso-position-vertical-relative:line" fillcolor="black">
      <v:fill color="black" color2="black"/>
      <v:stroke weight="4.8pt"/>
      <v:textbox inset="6pt,6pt,6pt,6pt"/>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F2"/>
    <w:rsid w:val="00006896"/>
    <w:rsid w:val="0000786D"/>
    <w:rsid w:val="00012C82"/>
    <w:rsid w:val="00013E4C"/>
    <w:rsid w:val="000142CF"/>
    <w:rsid w:val="00014733"/>
    <w:rsid w:val="00026288"/>
    <w:rsid w:val="00027ADA"/>
    <w:rsid w:val="00027EFF"/>
    <w:rsid w:val="000305D1"/>
    <w:rsid w:val="000312E8"/>
    <w:rsid w:val="00032A30"/>
    <w:rsid w:val="0004711F"/>
    <w:rsid w:val="0005234C"/>
    <w:rsid w:val="0006455F"/>
    <w:rsid w:val="00065EC1"/>
    <w:rsid w:val="00071B74"/>
    <w:rsid w:val="00073464"/>
    <w:rsid w:val="00074AFD"/>
    <w:rsid w:val="0008661F"/>
    <w:rsid w:val="00091997"/>
    <w:rsid w:val="000954BB"/>
    <w:rsid w:val="000A0425"/>
    <w:rsid w:val="000A2440"/>
    <w:rsid w:val="000A70EC"/>
    <w:rsid w:val="000B30B3"/>
    <w:rsid w:val="000B5147"/>
    <w:rsid w:val="000C7603"/>
    <w:rsid w:val="000D064B"/>
    <w:rsid w:val="000D53E0"/>
    <w:rsid w:val="000E0592"/>
    <w:rsid w:val="000E205F"/>
    <w:rsid w:val="000E3005"/>
    <w:rsid w:val="000F25D0"/>
    <w:rsid w:val="000F3897"/>
    <w:rsid w:val="000F666A"/>
    <w:rsid w:val="001041E5"/>
    <w:rsid w:val="00104BCA"/>
    <w:rsid w:val="00104F7D"/>
    <w:rsid w:val="00116D42"/>
    <w:rsid w:val="00121072"/>
    <w:rsid w:val="00125141"/>
    <w:rsid w:val="0012662B"/>
    <w:rsid w:val="00126D0F"/>
    <w:rsid w:val="00131E68"/>
    <w:rsid w:val="00132D7E"/>
    <w:rsid w:val="001356F0"/>
    <w:rsid w:val="0013776E"/>
    <w:rsid w:val="0014142F"/>
    <w:rsid w:val="001550CA"/>
    <w:rsid w:val="0017488F"/>
    <w:rsid w:val="001749A2"/>
    <w:rsid w:val="00185186"/>
    <w:rsid w:val="00191460"/>
    <w:rsid w:val="001A032B"/>
    <w:rsid w:val="001A180E"/>
    <w:rsid w:val="001A3605"/>
    <w:rsid w:val="001A52DB"/>
    <w:rsid w:val="001B07E2"/>
    <w:rsid w:val="001B5A0F"/>
    <w:rsid w:val="001B650C"/>
    <w:rsid w:val="001B7531"/>
    <w:rsid w:val="001B7F73"/>
    <w:rsid w:val="001C3B07"/>
    <w:rsid w:val="001C5C96"/>
    <w:rsid w:val="001D4BA1"/>
    <w:rsid w:val="001D4FF1"/>
    <w:rsid w:val="001E44AD"/>
    <w:rsid w:val="001E511B"/>
    <w:rsid w:val="001E532F"/>
    <w:rsid w:val="001F0A67"/>
    <w:rsid w:val="001F15BB"/>
    <w:rsid w:val="001F4F0E"/>
    <w:rsid w:val="001F7A7E"/>
    <w:rsid w:val="00204C27"/>
    <w:rsid w:val="0020765D"/>
    <w:rsid w:val="0021754D"/>
    <w:rsid w:val="00227F98"/>
    <w:rsid w:val="00232B27"/>
    <w:rsid w:val="00240F5D"/>
    <w:rsid w:val="00245192"/>
    <w:rsid w:val="0024594B"/>
    <w:rsid w:val="00245CD0"/>
    <w:rsid w:val="00250537"/>
    <w:rsid w:val="00250A25"/>
    <w:rsid w:val="00250E78"/>
    <w:rsid w:val="00253B14"/>
    <w:rsid w:val="00254D8E"/>
    <w:rsid w:val="0026195E"/>
    <w:rsid w:val="00262428"/>
    <w:rsid w:val="00262C11"/>
    <w:rsid w:val="00266E97"/>
    <w:rsid w:val="00267A77"/>
    <w:rsid w:val="00270D20"/>
    <w:rsid w:val="002712FD"/>
    <w:rsid w:val="002722E3"/>
    <w:rsid w:val="00276DD8"/>
    <w:rsid w:val="00293397"/>
    <w:rsid w:val="002A263D"/>
    <w:rsid w:val="002A712A"/>
    <w:rsid w:val="002B045D"/>
    <w:rsid w:val="002B0FB8"/>
    <w:rsid w:val="002B4F76"/>
    <w:rsid w:val="002B73F2"/>
    <w:rsid w:val="002C1E94"/>
    <w:rsid w:val="002C57C3"/>
    <w:rsid w:val="002C5EEE"/>
    <w:rsid w:val="002D167E"/>
    <w:rsid w:val="002D4022"/>
    <w:rsid w:val="002E0B62"/>
    <w:rsid w:val="002E1D13"/>
    <w:rsid w:val="002E3E4F"/>
    <w:rsid w:val="002F016F"/>
    <w:rsid w:val="003061AB"/>
    <w:rsid w:val="003122CA"/>
    <w:rsid w:val="00314A49"/>
    <w:rsid w:val="003155D4"/>
    <w:rsid w:val="00315A5B"/>
    <w:rsid w:val="003178EF"/>
    <w:rsid w:val="0032041B"/>
    <w:rsid w:val="00321A6F"/>
    <w:rsid w:val="003227BE"/>
    <w:rsid w:val="003264F2"/>
    <w:rsid w:val="00334353"/>
    <w:rsid w:val="00343CAB"/>
    <w:rsid w:val="0035040A"/>
    <w:rsid w:val="00351C5D"/>
    <w:rsid w:val="00355471"/>
    <w:rsid w:val="00356D40"/>
    <w:rsid w:val="00360A9E"/>
    <w:rsid w:val="00367CFE"/>
    <w:rsid w:val="00372B2F"/>
    <w:rsid w:val="00377088"/>
    <w:rsid w:val="00380317"/>
    <w:rsid w:val="00381652"/>
    <w:rsid w:val="003854CA"/>
    <w:rsid w:val="003856CC"/>
    <w:rsid w:val="00392844"/>
    <w:rsid w:val="003955F6"/>
    <w:rsid w:val="003A3F2F"/>
    <w:rsid w:val="003A4E56"/>
    <w:rsid w:val="003A6D06"/>
    <w:rsid w:val="003B542F"/>
    <w:rsid w:val="003B6239"/>
    <w:rsid w:val="003B663B"/>
    <w:rsid w:val="003C0AF6"/>
    <w:rsid w:val="003C0D00"/>
    <w:rsid w:val="003C6DDD"/>
    <w:rsid w:val="003C6E18"/>
    <w:rsid w:val="003C7835"/>
    <w:rsid w:val="003D2001"/>
    <w:rsid w:val="003D7CEE"/>
    <w:rsid w:val="003E78F5"/>
    <w:rsid w:val="004006C0"/>
    <w:rsid w:val="00400C41"/>
    <w:rsid w:val="004031F2"/>
    <w:rsid w:val="004035E9"/>
    <w:rsid w:val="00404867"/>
    <w:rsid w:val="00405E1C"/>
    <w:rsid w:val="00406F37"/>
    <w:rsid w:val="00412C86"/>
    <w:rsid w:val="0043545D"/>
    <w:rsid w:val="00435D46"/>
    <w:rsid w:val="00442D70"/>
    <w:rsid w:val="00444ACC"/>
    <w:rsid w:val="00450C33"/>
    <w:rsid w:val="0045626D"/>
    <w:rsid w:val="00456B41"/>
    <w:rsid w:val="004624BF"/>
    <w:rsid w:val="004671D7"/>
    <w:rsid w:val="00467634"/>
    <w:rsid w:val="00481123"/>
    <w:rsid w:val="00483422"/>
    <w:rsid w:val="0048660B"/>
    <w:rsid w:val="00495147"/>
    <w:rsid w:val="00496F4A"/>
    <w:rsid w:val="004B5C06"/>
    <w:rsid w:val="004B612E"/>
    <w:rsid w:val="004B71A6"/>
    <w:rsid w:val="004D48B4"/>
    <w:rsid w:val="004D7436"/>
    <w:rsid w:val="004E223C"/>
    <w:rsid w:val="004E2F66"/>
    <w:rsid w:val="004E4BB5"/>
    <w:rsid w:val="004E6501"/>
    <w:rsid w:val="004F1C17"/>
    <w:rsid w:val="00500FB8"/>
    <w:rsid w:val="005034F1"/>
    <w:rsid w:val="00503F67"/>
    <w:rsid w:val="005048A8"/>
    <w:rsid w:val="00507B55"/>
    <w:rsid w:val="00516E4D"/>
    <w:rsid w:val="00516EBA"/>
    <w:rsid w:val="0052642E"/>
    <w:rsid w:val="005336DF"/>
    <w:rsid w:val="00533977"/>
    <w:rsid w:val="00533E73"/>
    <w:rsid w:val="00536CED"/>
    <w:rsid w:val="005420D2"/>
    <w:rsid w:val="005424E1"/>
    <w:rsid w:val="00547A54"/>
    <w:rsid w:val="0055155C"/>
    <w:rsid w:val="005517F2"/>
    <w:rsid w:val="00552826"/>
    <w:rsid w:val="00555BC6"/>
    <w:rsid w:val="00565DD7"/>
    <w:rsid w:val="00575FA8"/>
    <w:rsid w:val="00582633"/>
    <w:rsid w:val="00584093"/>
    <w:rsid w:val="00585D93"/>
    <w:rsid w:val="005861C7"/>
    <w:rsid w:val="005A1F85"/>
    <w:rsid w:val="005A24DC"/>
    <w:rsid w:val="005A432A"/>
    <w:rsid w:val="005B4A65"/>
    <w:rsid w:val="005B5B58"/>
    <w:rsid w:val="005C030D"/>
    <w:rsid w:val="005C0693"/>
    <w:rsid w:val="005C1BA0"/>
    <w:rsid w:val="005C40D0"/>
    <w:rsid w:val="005D2ABF"/>
    <w:rsid w:val="005D4013"/>
    <w:rsid w:val="005E21FD"/>
    <w:rsid w:val="005E7517"/>
    <w:rsid w:val="005F15ED"/>
    <w:rsid w:val="005F1BC1"/>
    <w:rsid w:val="005F27AA"/>
    <w:rsid w:val="005F2CF0"/>
    <w:rsid w:val="005F6240"/>
    <w:rsid w:val="005F7CAF"/>
    <w:rsid w:val="00601123"/>
    <w:rsid w:val="00603BB9"/>
    <w:rsid w:val="00605265"/>
    <w:rsid w:val="00606680"/>
    <w:rsid w:val="00611109"/>
    <w:rsid w:val="006250EC"/>
    <w:rsid w:val="00632A33"/>
    <w:rsid w:val="00633349"/>
    <w:rsid w:val="00640375"/>
    <w:rsid w:val="00642CB1"/>
    <w:rsid w:val="00642DBB"/>
    <w:rsid w:val="00653E7A"/>
    <w:rsid w:val="00654CAB"/>
    <w:rsid w:val="00655779"/>
    <w:rsid w:val="006562EE"/>
    <w:rsid w:val="0066287F"/>
    <w:rsid w:val="00662D48"/>
    <w:rsid w:val="006642D1"/>
    <w:rsid w:val="00665520"/>
    <w:rsid w:val="006664FF"/>
    <w:rsid w:val="00666B4F"/>
    <w:rsid w:val="00676154"/>
    <w:rsid w:val="00680BFB"/>
    <w:rsid w:val="00682DC6"/>
    <w:rsid w:val="00687E36"/>
    <w:rsid w:val="00690A0B"/>
    <w:rsid w:val="00693B9F"/>
    <w:rsid w:val="00694761"/>
    <w:rsid w:val="006A16E3"/>
    <w:rsid w:val="006B035F"/>
    <w:rsid w:val="006B49CA"/>
    <w:rsid w:val="006C24FC"/>
    <w:rsid w:val="006C6DAA"/>
    <w:rsid w:val="006C74AC"/>
    <w:rsid w:val="006D02CE"/>
    <w:rsid w:val="006D4CED"/>
    <w:rsid w:val="006D798C"/>
    <w:rsid w:val="006E2137"/>
    <w:rsid w:val="006E2AD8"/>
    <w:rsid w:val="006E77CF"/>
    <w:rsid w:val="006F22FC"/>
    <w:rsid w:val="006F2B37"/>
    <w:rsid w:val="006F7131"/>
    <w:rsid w:val="007025E6"/>
    <w:rsid w:val="00707980"/>
    <w:rsid w:val="00715BF4"/>
    <w:rsid w:val="007167FF"/>
    <w:rsid w:val="0072310C"/>
    <w:rsid w:val="00725A4A"/>
    <w:rsid w:val="00725ACA"/>
    <w:rsid w:val="007265C4"/>
    <w:rsid w:val="00730838"/>
    <w:rsid w:val="00737BB6"/>
    <w:rsid w:val="00744EB0"/>
    <w:rsid w:val="00745A93"/>
    <w:rsid w:val="007467C0"/>
    <w:rsid w:val="00753F32"/>
    <w:rsid w:val="0075491E"/>
    <w:rsid w:val="00760C74"/>
    <w:rsid w:val="00760D50"/>
    <w:rsid w:val="00762E12"/>
    <w:rsid w:val="0076723F"/>
    <w:rsid w:val="00770AAB"/>
    <w:rsid w:val="007712CF"/>
    <w:rsid w:val="0077703B"/>
    <w:rsid w:val="0077779F"/>
    <w:rsid w:val="007903F6"/>
    <w:rsid w:val="007924DA"/>
    <w:rsid w:val="00793F99"/>
    <w:rsid w:val="007A2002"/>
    <w:rsid w:val="007A22C8"/>
    <w:rsid w:val="007A2D4E"/>
    <w:rsid w:val="007A37E4"/>
    <w:rsid w:val="007A5C04"/>
    <w:rsid w:val="007A67AA"/>
    <w:rsid w:val="007B0250"/>
    <w:rsid w:val="007B479A"/>
    <w:rsid w:val="007B7EF0"/>
    <w:rsid w:val="007C2CF6"/>
    <w:rsid w:val="007C32F5"/>
    <w:rsid w:val="007C407A"/>
    <w:rsid w:val="007C518D"/>
    <w:rsid w:val="007C6CBC"/>
    <w:rsid w:val="007D01B5"/>
    <w:rsid w:val="007D1F85"/>
    <w:rsid w:val="007E093A"/>
    <w:rsid w:val="007E128A"/>
    <w:rsid w:val="007E1A60"/>
    <w:rsid w:val="007E5AE8"/>
    <w:rsid w:val="007F227D"/>
    <w:rsid w:val="00801E4E"/>
    <w:rsid w:val="0080241B"/>
    <w:rsid w:val="008078BA"/>
    <w:rsid w:val="00812C93"/>
    <w:rsid w:val="00815C3A"/>
    <w:rsid w:val="00822B38"/>
    <w:rsid w:val="0083077E"/>
    <w:rsid w:val="00836DC4"/>
    <w:rsid w:val="008432CD"/>
    <w:rsid w:val="00853271"/>
    <w:rsid w:val="00855A70"/>
    <w:rsid w:val="00856707"/>
    <w:rsid w:val="00862FA2"/>
    <w:rsid w:val="008631DD"/>
    <w:rsid w:val="00866374"/>
    <w:rsid w:val="00871C79"/>
    <w:rsid w:val="00876C11"/>
    <w:rsid w:val="00886B3D"/>
    <w:rsid w:val="00887F42"/>
    <w:rsid w:val="00890EBD"/>
    <w:rsid w:val="00893822"/>
    <w:rsid w:val="008A0F79"/>
    <w:rsid w:val="008A4B43"/>
    <w:rsid w:val="008A56B6"/>
    <w:rsid w:val="008A641E"/>
    <w:rsid w:val="008B1A4D"/>
    <w:rsid w:val="008B3AD3"/>
    <w:rsid w:val="008C074A"/>
    <w:rsid w:val="008C0CF8"/>
    <w:rsid w:val="008C23D2"/>
    <w:rsid w:val="008C4B17"/>
    <w:rsid w:val="008D2E4E"/>
    <w:rsid w:val="008D633A"/>
    <w:rsid w:val="008E1E36"/>
    <w:rsid w:val="008E3492"/>
    <w:rsid w:val="008E5C6F"/>
    <w:rsid w:val="008F0F97"/>
    <w:rsid w:val="008F3269"/>
    <w:rsid w:val="008F3941"/>
    <w:rsid w:val="008F5881"/>
    <w:rsid w:val="009025B0"/>
    <w:rsid w:val="00905CA8"/>
    <w:rsid w:val="009109EE"/>
    <w:rsid w:val="00911216"/>
    <w:rsid w:val="00914DB6"/>
    <w:rsid w:val="0092610D"/>
    <w:rsid w:val="00932C04"/>
    <w:rsid w:val="00932CC7"/>
    <w:rsid w:val="00934520"/>
    <w:rsid w:val="0093512A"/>
    <w:rsid w:val="0093574F"/>
    <w:rsid w:val="00937813"/>
    <w:rsid w:val="009405B4"/>
    <w:rsid w:val="009475BC"/>
    <w:rsid w:val="00950508"/>
    <w:rsid w:val="00957D8E"/>
    <w:rsid w:val="009608FC"/>
    <w:rsid w:val="00961890"/>
    <w:rsid w:val="0096271E"/>
    <w:rsid w:val="00964B99"/>
    <w:rsid w:val="00974181"/>
    <w:rsid w:val="00980C19"/>
    <w:rsid w:val="00982C03"/>
    <w:rsid w:val="0098577A"/>
    <w:rsid w:val="009860C5"/>
    <w:rsid w:val="009946BB"/>
    <w:rsid w:val="00996246"/>
    <w:rsid w:val="00997B63"/>
    <w:rsid w:val="009A0D4B"/>
    <w:rsid w:val="009A67E6"/>
    <w:rsid w:val="009B0B7C"/>
    <w:rsid w:val="009B1F3F"/>
    <w:rsid w:val="009B2BC5"/>
    <w:rsid w:val="009B7592"/>
    <w:rsid w:val="009C6371"/>
    <w:rsid w:val="009D16DC"/>
    <w:rsid w:val="009D1BB3"/>
    <w:rsid w:val="009E391A"/>
    <w:rsid w:val="009E3E24"/>
    <w:rsid w:val="009E6A14"/>
    <w:rsid w:val="009F321D"/>
    <w:rsid w:val="009F4209"/>
    <w:rsid w:val="009F5882"/>
    <w:rsid w:val="009F74CD"/>
    <w:rsid w:val="00A01901"/>
    <w:rsid w:val="00A040A6"/>
    <w:rsid w:val="00A127AD"/>
    <w:rsid w:val="00A32A68"/>
    <w:rsid w:val="00A36B6F"/>
    <w:rsid w:val="00A432F1"/>
    <w:rsid w:val="00A477CE"/>
    <w:rsid w:val="00A527E1"/>
    <w:rsid w:val="00A53238"/>
    <w:rsid w:val="00A5386C"/>
    <w:rsid w:val="00A615E7"/>
    <w:rsid w:val="00A65158"/>
    <w:rsid w:val="00A66436"/>
    <w:rsid w:val="00A7499F"/>
    <w:rsid w:val="00A80FD3"/>
    <w:rsid w:val="00A81F77"/>
    <w:rsid w:val="00A836C2"/>
    <w:rsid w:val="00A86985"/>
    <w:rsid w:val="00A945A5"/>
    <w:rsid w:val="00AA024E"/>
    <w:rsid w:val="00AA13B3"/>
    <w:rsid w:val="00AA7DFD"/>
    <w:rsid w:val="00AB24C7"/>
    <w:rsid w:val="00AB3E17"/>
    <w:rsid w:val="00AB3F5F"/>
    <w:rsid w:val="00AB4B4F"/>
    <w:rsid w:val="00AB4CA7"/>
    <w:rsid w:val="00AB5DFE"/>
    <w:rsid w:val="00AB68F4"/>
    <w:rsid w:val="00AC043F"/>
    <w:rsid w:val="00AC0A53"/>
    <w:rsid w:val="00AC3297"/>
    <w:rsid w:val="00AD20BE"/>
    <w:rsid w:val="00AD4F23"/>
    <w:rsid w:val="00AD5062"/>
    <w:rsid w:val="00AD6260"/>
    <w:rsid w:val="00AE0F38"/>
    <w:rsid w:val="00AE3B66"/>
    <w:rsid w:val="00AE452B"/>
    <w:rsid w:val="00AE4C6F"/>
    <w:rsid w:val="00AF0090"/>
    <w:rsid w:val="00AF35CE"/>
    <w:rsid w:val="00AF3FD4"/>
    <w:rsid w:val="00AF5B53"/>
    <w:rsid w:val="00AF5BFA"/>
    <w:rsid w:val="00AF5E93"/>
    <w:rsid w:val="00B0179E"/>
    <w:rsid w:val="00B02199"/>
    <w:rsid w:val="00B04F23"/>
    <w:rsid w:val="00B06A9B"/>
    <w:rsid w:val="00B15249"/>
    <w:rsid w:val="00B17C73"/>
    <w:rsid w:val="00B2183C"/>
    <w:rsid w:val="00B339D9"/>
    <w:rsid w:val="00B3616F"/>
    <w:rsid w:val="00B44E36"/>
    <w:rsid w:val="00B45615"/>
    <w:rsid w:val="00B45DCB"/>
    <w:rsid w:val="00B53B3A"/>
    <w:rsid w:val="00B604D1"/>
    <w:rsid w:val="00B63D28"/>
    <w:rsid w:val="00B66BCE"/>
    <w:rsid w:val="00B73FF0"/>
    <w:rsid w:val="00B741E6"/>
    <w:rsid w:val="00B77384"/>
    <w:rsid w:val="00B8117F"/>
    <w:rsid w:val="00B86BFF"/>
    <w:rsid w:val="00B955F9"/>
    <w:rsid w:val="00BA5331"/>
    <w:rsid w:val="00BC0D32"/>
    <w:rsid w:val="00BC2929"/>
    <w:rsid w:val="00BC663C"/>
    <w:rsid w:val="00BC7E43"/>
    <w:rsid w:val="00BE1CCF"/>
    <w:rsid w:val="00BE670B"/>
    <w:rsid w:val="00BE72B9"/>
    <w:rsid w:val="00BF1103"/>
    <w:rsid w:val="00BF283C"/>
    <w:rsid w:val="00BF2D5B"/>
    <w:rsid w:val="00C03425"/>
    <w:rsid w:val="00C11875"/>
    <w:rsid w:val="00C13B39"/>
    <w:rsid w:val="00C14C99"/>
    <w:rsid w:val="00C14FEA"/>
    <w:rsid w:val="00C17785"/>
    <w:rsid w:val="00C17E54"/>
    <w:rsid w:val="00C24E08"/>
    <w:rsid w:val="00C25C0D"/>
    <w:rsid w:val="00C33723"/>
    <w:rsid w:val="00C35925"/>
    <w:rsid w:val="00C4262C"/>
    <w:rsid w:val="00C5478C"/>
    <w:rsid w:val="00C57184"/>
    <w:rsid w:val="00C57458"/>
    <w:rsid w:val="00C61A4E"/>
    <w:rsid w:val="00C6613B"/>
    <w:rsid w:val="00C66652"/>
    <w:rsid w:val="00C66FEA"/>
    <w:rsid w:val="00C67107"/>
    <w:rsid w:val="00C707FA"/>
    <w:rsid w:val="00C73F8F"/>
    <w:rsid w:val="00C77B2B"/>
    <w:rsid w:val="00C832A7"/>
    <w:rsid w:val="00C8653B"/>
    <w:rsid w:val="00C940FA"/>
    <w:rsid w:val="00CA76CD"/>
    <w:rsid w:val="00CB0E21"/>
    <w:rsid w:val="00CB29DA"/>
    <w:rsid w:val="00CC3006"/>
    <w:rsid w:val="00CC737A"/>
    <w:rsid w:val="00CD2A1B"/>
    <w:rsid w:val="00CD372B"/>
    <w:rsid w:val="00CD512B"/>
    <w:rsid w:val="00CE1175"/>
    <w:rsid w:val="00CE3BA8"/>
    <w:rsid w:val="00CE4732"/>
    <w:rsid w:val="00CF2D86"/>
    <w:rsid w:val="00CF5C4B"/>
    <w:rsid w:val="00D16D75"/>
    <w:rsid w:val="00D17FFE"/>
    <w:rsid w:val="00D235DE"/>
    <w:rsid w:val="00D344AE"/>
    <w:rsid w:val="00D35EF9"/>
    <w:rsid w:val="00D53D30"/>
    <w:rsid w:val="00D67C81"/>
    <w:rsid w:val="00D70244"/>
    <w:rsid w:val="00D76BF9"/>
    <w:rsid w:val="00D860CA"/>
    <w:rsid w:val="00D862EA"/>
    <w:rsid w:val="00D863D3"/>
    <w:rsid w:val="00D87D0F"/>
    <w:rsid w:val="00D914A7"/>
    <w:rsid w:val="00D9213F"/>
    <w:rsid w:val="00D93C6B"/>
    <w:rsid w:val="00D96FD5"/>
    <w:rsid w:val="00DA1362"/>
    <w:rsid w:val="00DA68A4"/>
    <w:rsid w:val="00DB17B6"/>
    <w:rsid w:val="00DB2C8F"/>
    <w:rsid w:val="00DB5A76"/>
    <w:rsid w:val="00DC0454"/>
    <w:rsid w:val="00DC44A5"/>
    <w:rsid w:val="00DD23F5"/>
    <w:rsid w:val="00DD2C78"/>
    <w:rsid w:val="00DD4F16"/>
    <w:rsid w:val="00DD53E8"/>
    <w:rsid w:val="00DE1051"/>
    <w:rsid w:val="00DE348E"/>
    <w:rsid w:val="00DE7B54"/>
    <w:rsid w:val="00DF7464"/>
    <w:rsid w:val="00E0113D"/>
    <w:rsid w:val="00E056F8"/>
    <w:rsid w:val="00E06B47"/>
    <w:rsid w:val="00E07F80"/>
    <w:rsid w:val="00E16CD8"/>
    <w:rsid w:val="00E17069"/>
    <w:rsid w:val="00E251BF"/>
    <w:rsid w:val="00E319C7"/>
    <w:rsid w:val="00E320C5"/>
    <w:rsid w:val="00E40781"/>
    <w:rsid w:val="00E43EB2"/>
    <w:rsid w:val="00E457FE"/>
    <w:rsid w:val="00E53746"/>
    <w:rsid w:val="00E543F2"/>
    <w:rsid w:val="00E5604F"/>
    <w:rsid w:val="00E5636D"/>
    <w:rsid w:val="00E60293"/>
    <w:rsid w:val="00E65EC2"/>
    <w:rsid w:val="00E66AE0"/>
    <w:rsid w:val="00E72CE5"/>
    <w:rsid w:val="00E759EA"/>
    <w:rsid w:val="00E75E17"/>
    <w:rsid w:val="00E76806"/>
    <w:rsid w:val="00E77609"/>
    <w:rsid w:val="00E7797F"/>
    <w:rsid w:val="00E80C96"/>
    <w:rsid w:val="00E81CEA"/>
    <w:rsid w:val="00E923C4"/>
    <w:rsid w:val="00E934A1"/>
    <w:rsid w:val="00E9468F"/>
    <w:rsid w:val="00E94D10"/>
    <w:rsid w:val="00EA0B58"/>
    <w:rsid w:val="00EA1B83"/>
    <w:rsid w:val="00EA7537"/>
    <w:rsid w:val="00EB0F8B"/>
    <w:rsid w:val="00EC071A"/>
    <w:rsid w:val="00EC2AAF"/>
    <w:rsid w:val="00EC3D0C"/>
    <w:rsid w:val="00EC72FC"/>
    <w:rsid w:val="00ED06CA"/>
    <w:rsid w:val="00ED26B0"/>
    <w:rsid w:val="00ED3A4B"/>
    <w:rsid w:val="00ED4859"/>
    <w:rsid w:val="00EE0A9F"/>
    <w:rsid w:val="00EE38DC"/>
    <w:rsid w:val="00F04D8F"/>
    <w:rsid w:val="00F05F4C"/>
    <w:rsid w:val="00F06C4D"/>
    <w:rsid w:val="00F100A1"/>
    <w:rsid w:val="00F10ABA"/>
    <w:rsid w:val="00F10E03"/>
    <w:rsid w:val="00F143D7"/>
    <w:rsid w:val="00F15BE2"/>
    <w:rsid w:val="00F15E8B"/>
    <w:rsid w:val="00F20C84"/>
    <w:rsid w:val="00F242F6"/>
    <w:rsid w:val="00F24D30"/>
    <w:rsid w:val="00F24E5E"/>
    <w:rsid w:val="00F3284A"/>
    <w:rsid w:val="00F37248"/>
    <w:rsid w:val="00F41C7A"/>
    <w:rsid w:val="00F41EE8"/>
    <w:rsid w:val="00F438E9"/>
    <w:rsid w:val="00F455BC"/>
    <w:rsid w:val="00F51710"/>
    <w:rsid w:val="00F54516"/>
    <w:rsid w:val="00F55E2C"/>
    <w:rsid w:val="00F6055C"/>
    <w:rsid w:val="00F62FDF"/>
    <w:rsid w:val="00F64046"/>
    <w:rsid w:val="00F644C9"/>
    <w:rsid w:val="00F65BC2"/>
    <w:rsid w:val="00F738BC"/>
    <w:rsid w:val="00F77081"/>
    <w:rsid w:val="00F82707"/>
    <w:rsid w:val="00F83048"/>
    <w:rsid w:val="00F8465E"/>
    <w:rsid w:val="00FA1DA0"/>
    <w:rsid w:val="00FA2217"/>
    <w:rsid w:val="00FA41CE"/>
    <w:rsid w:val="00FA6906"/>
    <w:rsid w:val="00FB53AC"/>
    <w:rsid w:val="00FC65AF"/>
    <w:rsid w:val="00FD3C34"/>
    <w:rsid w:val="00FD40FE"/>
    <w:rsid w:val="00FD6134"/>
    <w:rsid w:val="00FE1309"/>
    <w:rsid w:val="00FE16DA"/>
    <w:rsid w:val="00FE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line" fillcolor="black">
      <v:fill color="black" color2="black"/>
      <v:stroke weight="4.8pt"/>
      <v:textbox inset="6pt,6pt,6pt,6pt"/>
    </o:shapedefaults>
    <o:shapelayout v:ext="edit">
      <o:idmap v:ext="edit" data="2"/>
    </o:shapelayout>
  </w:shapeDefaults>
  <w:decimalSymbol w:val="."/>
  <w:listSeparator w:val=","/>
  <w14:docId w14:val="09393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2F"/>
    <w:rPr>
      <w:sz w:val="22"/>
      <w:szCs w:val="22"/>
      <w:lang w:val="en-CA" w:eastAsia="en-CA"/>
    </w:rPr>
  </w:style>
  <w:style w:type="paragraph" w:styleId="Heading1">
    <w:name w:val="heading 1"/>
    <w:basedOn w:val="Normal"/>
    <w:next w:val="Normal"/>
    <w:link w:val="Heading1Char"/>
    <w:uiPriority w:val="9"/>
    <w:qFormat/>
    <w:rsid w:val="003A3F2F"/>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3A3F2F"/>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3A3F2F"/>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3A3F2F"/>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3A3F2F"/>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3A3F2F"/>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unhideWhenUsed/>
    <w:qFormat/>
    <w:rsid w:val="003A3F2F"/>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3A3F2F"/>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3A3F2F"/>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3F2F"/>
    <w:rPr>
      <w:rFonts w:ascii="Cambria" w:eastAsia="Times New Roman" w:hAnsi="Cambria" w:cs="Times New Roman"/>
      <w:b/>
      <w:bCs/>
      <w:color w:val="21798E"/>
      <w:sz w:val="28"/>
      <w:szCs w:val="28"/>
    </w:rPr>
  </w:style>
  <w:style w:type="character" w:customStyle="1" w:styleId="Heading2Char">
    <w:name w:val="Heading 2 Char"/>
    <w:link w:val="Heading2"/>
    <w:uiPriority w:val="9"/>
    <w:rsid w:val="003A3F2F"/>
    <w:rPr>
      <w:rFonts w:ascii="Cambria" w:eastAsia="Times New Roman" w:hAnsi="Cambria" w:cs="Times New Roman"/>
      <w:b/>
      <w:bCs/>
      <w:color w:val="2DA2BF"/>
      <w:sz w:val="26"/>
      <w:szCs w:val="26"/>
    </w:rPr>
  </w:style>
  <w:style w:type="character" w:customStyle="1" w:styleId="Heading7Char">
    <w:name w:val="Heading 7 Char"/>
    <w:link w:val="Heading7"/>
    <w:uiPriority w:val="9"/>
    <w:rsid w:val="003A3F2F"/>
    <w:rPr>
      <w:rFonts w:ascii="Cambria" w:eastAsia="Times New Roman" w:hAnsi="Cambria" w:cs="Times New Roman"/>
      <w:i/>
      <w:iCs/>
      <w:color w:val="404040"/>
    </w:rPr>
  </w:style>
  <w:style w:type="paragraph" w:styleId="FootnoteText">
    <w:name w:val="footnote text"/>
    <w:aliases w:val="Car,Footnote Text Char Char,Footnote Text Char1 Char Char,Footnote Text Char Char Char Char,Footnote Text Char Char1,Footnote Text Char1 Char,F1,TR Footnote Text,f2,5_G,Footnote reference,FA Fu,Footnote Text Char1 Char1, Char,Char"/>
    <w:basedOn w:val="Normal"/>
    <w:link w:val="FootnoteTextChar"/>
    <w:uiPriority w:val="99"/>
    <w:qFormat/>
    <w:rsid w:val="005517F2"/>
    <w:rPr>
      <w:sz w:val="20"/>
      <w:szCs w:val="20"/>
    </w:rPr>
  </w:style>
  <w:style w:type="character" w:customStyle="1" w:styleId="FootnoteTextChar">
    <w:name w:val="Footnote Text Char"/>
    <w:aliases w:val="Car Char,Footnote Text Char Char Char,Footnote Text Char1 Char Char Char,Footnote Text Char Char Char Char Char,Footnote Text Char Char1 Char,Footnote Text Char1 Char Char1,F1 Char,TR Footnote Text Char,f2 Char,5_G Char,FA Fu Char"/>
    <w:link w:val="FootnoteText"/>
    <w:uiPriority w:val="99"/>
    <w:rsid w:val="005517F2"/>
    <w:rPr>
      <w:rFonts w:ascii="Times New Roman" w:eastAsia="Times New Roman" w:hAnsi="Times New Roman" w:cs="Times New Roman"/>
      <w:sz w:val="20"/>
      <w:szCs w:val="20"/>
      <w:lang w:val="en-CA"/>
    </w:rPr>
  </w:style>
  <w:style w:type="character" w:styleId="FootnoteReference">
    <w:name w:val="footnote reference"/>
    <w:aliases w:val="Footnotes refss,4_G,Footnote Ref,16 Point,Superscript 6 Point,Appel note de bas de p.,ftref,Ref,de nota al pie,callout,Footnote Refernece,Footnote,Appel note de bas de page,Texto de nota al pie,referencia nota al pie,4_G Ch,註腳內容,11 pt"/>
    <w:link w:val="4GZchn"/>
    <w:uiPriority w:val="99"/>
    <w:qFormat/>
    <w:rsid w:val="005517F2"/>
    <w:rPr>
      <w:vertAlign w:val="superscript"/>
    </w:rPr>
  </w:style>
  <w:style w:type="paragraph" w:styleId="BodyText">
    <w:name w:val="Body Text"/>
    <w:basedOn w:val="Normal"/>
    <w:link w:val="BodyTextChar"/>
    <w:rsid w:val="005517F2"/>
    <w:pPr>
      <w:spacing w:line="360" w:lineRule="auto"/>
    </w:pPr>
  </w:style>
  <w:style w:type="character" w:customStyle="1" w:styleId="BodyTextChar">
    <w:name w:val="Body Text Char"/>
    <w:link w:val="BodyText"/>
    <w:rsid w:val="005517F2"/>
    <w:rPr>
      <w:rFonts w:ascii="Times New Roman" w:eastAsia="Times New Roman" w:hAnsi="Times New Roman" w:cs="Times New Roman"/>
      <w:sz w:val="24"/>
      <w:szCs w:val="24"/>
      <w:lang w:val="en-CA"/>
    </w:rPr>
  </w:style>
  <w:style w:type="paragraph" w:styleId="BodyTextIndent">
    <w:name w:val="Body Text Indent"/>
    <w:basedOn w:val="Normal"/>
    <w:link w:val="BodyTextIndentChar"/>
    <w:rsid w:val="005517F2"/>
    <w:pPr>
      <w:ind w:left="720" w:firstLine="720"/>
      <w:jc w:val="center"/>
    </w:pPr>
    <w:rPr>
      <w:szCs w:val="20"/>
    </w:rPr>
  </w:style>
  <w:style w:type="character" w:customStyle="1" w:styleId="BodyTextIndentChar">
    <w:name w:val="Body Text Indent Char"/>
    <w:link w:val="BodyTextIndent"/>
    <w:rsid w:val="005517F2"/>
    <w:rPr>
      <w:rFonts w:ascii="Times New Roman" w:eastAsia="Times New Roman" w:hAnsi="Times New Roman" w:cs="Times New Roman"/>
      <w:sz w:val="24"/>
      <w:szCs w:val="20"/>
      <w:lang w:val="en-CA"/>
    </w:rPr>
  </w:style>
  <w:style w:type="character" w:styleId="Hyperlink">
    <w:name w:val="Hyperlink"/>
    <w:uiPriority w:val="99"/>
    <w:rsid w:val="005517F2"/>
    <w:rPr>
      <w:color w:val="0000FF"/>
      <w:u w:val="single"/>
    </w:rPr>
  </w:style>
  <w:style w:type="paragraph" w:styleId="Header">
    <w:name w:val="header"/>
    <w:basedOn w:val="Normal"/>
    <w:link w:val="HeaderChar"/>
    <w:uiPriority w:val="99"/>
    <w:rsid w:val="005517F2"/>
    <w:pPr>
      <w:tabs>
        <w:tab w:val="center" w:pos="4320"/>
        <w:tab w:val="right" w:pos="8640"/>
      </w:tabs>
    </w:pPr>
  </w:style>
  <w:style w:type="character" w:customStyle="1" w:styleId="HeaderChar">
    <w:name w:val="Header Char"/>
    <w:link w:val="Header"/>
    <w:uiPriority w:val="99"/>
    <w:rsid w:val="005517F2"/>
    <w:rPr>
      <w:rFonts w:ascii="Times New Roman" w:eastAsia="Times New Roman" w:hAnsi="Times New Roman" w:cs="Times New Roman"/>
      <w:sz w:val="24"/>
      <w:szCs w:val="24"/>
      <w:lang w:val="en-CA"/>
    </w:rPr>
  </w:style>
  <w:style w:type="character" w:styleId="PageNumber">
    <w:name w:val="page number"/>
    <w:basedOn w:val="DefaultParagraphFont"/>
    <w:rsid w:val="005517F2"/>
  </w:style>
  <w:style w:type="paragraph" w:styleId="BodyText2">
    <w:name w:val="Body Text 2"/>
    <w:basedOn w:val="Normal"/>
    <w:link w:val="BodyText2Char"/>
    <w:rsid w:val="005517F2"/>
    <w:pPr>
      <w:spacing w:line="360" w:lineRule="auto"/>
    </w:pPr>
  </w:style>
  <w:style w:type="character" w:customStyle="1" w:styleId="BodyText2Char">
    <w:name w:val="Body Text 2 Char"/>
    <w:link w:val="BodyText2"/>
    <w:rsid w:val="005517F2"/>
    <w:rPr>
      <w:rFonts w:ascii="Times New Roman" w:eastAsia="Times New Roman" w:hAnsi="Times New Roman" w:cs="Times New Roman"/>
      <w:sz w:val="24"/>
      <w:szCs w:val="24"/>
      <w:lang w:val="en-CA"/>
    </w:rPr>
  </w:style>
  <w:style w:type="paragraph" w:styleId="Footer">
    <w:name w:val="footer"/>
    <w:basedOn w:val="Normal"/>
    <w:link w:val="FooterChar"/>
    <w:uiPriority w:val="99"/>
    <w:rsid w:val="005517F2"/>
    <w:pPr>
      <w:tabs>
        <w:tab w:val="center" w:pos="4320"/>
        <w:tab w:val="right" w:pos="8640"/>
      </w:tabs>
    </w:pPr>
  </w:style>
  <w:style w:type="character" w:customStyle="1" w:styleId="FooterChar">
    <w:name w:val="Footer Char"/>
    <w:link w:val="Footer"/>
    <w:uiPriority w:val="99"/>
    <w:rsid w:val="005517F2"/>
    <w:rPr>
      <w:rFonts w:ascii="Times New Roman" w:eastAsia="Times New Roman" w:hAnsi="Times New Roman" w:cs="Times New Roman"/>
      <w:sz w:val="24"/>
      <w:szCs w:val="24"/>
      <w:lang w:val="en-CA"/>
    </w:rPr>
  </w:style>
  <w:style w:type="character" w:styleId="EndnoteReference">
    <w:name w:val="endnote reference"/>
    <w:rsid w:val="005517F2"/>
    <w:rPr>
      <w:vertAlign w:val="superscript"/>
    </w:rPr>
  </w:style>
  <w:style w:type="paragraph" w:styleId="EndnoteText">
    <w:name w:val="endnote text"/>
    <w:basedOn w:val="Normal"/>
    <w:link w:val="EndnoteTextChar"/>
    <w:rsid w:val="005517F2"/>
    <w:pPr>
      <w:widowControl w:val="0"/>
    </w:pPr>
    <w:rPr>
      <w:snapToGrid w:val="0"/>
      <w:sz w:val="20"/>
      <w:szCs w:val="20"/>
      <w:lang w:val="en-US"/>
    </w:rPr>
  </w:style>
  <w:style w:type="character" w:customStyle="1" w:styleId="EndnoteTextChar">
    <w:name w:val="Endnote Text Char"/>
    <w:link w:val="EndnoteText"/>
    <w:rsid w:val="005517F2"/>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A3F2F"/>
    <w:pPr>
      <w:ind w:left="720"/>
      <w:contextualSpacing/>
    </w:pPr>
  </w:style>
  <w:style w:type="character" w:customStyle="1" w:styleId="Heading4Char">
    <w:name w:val="Heading 4 Char"/>
    <w:link w:val="Heading4"/>
    <w:uiPriority w:val="9"/>
    <w:semiHidden/>
    <w:rsid w:val="003A3F2F"/>
    <w:rPr>
      <w:rFonts w:ascii="Cambria" w:eastAsia="Times New Roman" w:hAnsi="Cambria" w:cs="Times New Roman"/>
      <w:b/>
      <w:bCs/>
      <w:i/>
      <w:iCs/>
      <w:color w:val="2DA2BF"/>
    </w:rPr>
  </w:style>
  <w:style w:type="character" w:customStyle="1" w:styleId="Heading8Char">
    <w:name w:val="Heading 8 Char"/>
    <w:link w:val="Heading8"/>
    <w:uiPriority w:val="9"/>
    <w:semiHidden/>
    <w:rsid w:val="003A3F2F"/>
    <w:rPr>
      <w:rFonts w:ascii="Cambria" w:eastAsia="Times New Roman" w:hAnsi="Cambria" w:cs="Times New Roman"/>
      <w:color w:val="2DA2BF"/>
      <w:sz w:val="20"/>
      <w:szCs w:val="20"/>
    </w:rPr>
  </w:style>
  <w:style w:type="table" w:styleId="TableGrid">
    <w:name w:val="Table Grid"/>
    <w:basedOn w:val="TableNormal"/>
    <w:uiPriority w:val="59"/>
    <w:rsid w:val="001A1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932CC7"/>
    <w:rPr>
      <w:sz w:val="16"/>
      <w:szCs w:val="16"/>
    </w:rPr>
  </w:style>
  <w:style w:type="paragraph" w:styleId="CommentText">
    <w:name w:val="annotation text"/>
    <w:basedOn w:val="Normal"/>
    <w:link w:val="CommentTextChar"/>
    <w:uiPriority w:val="99"/>
    <w:unhideWhenUsed/>
    <w:rsid w:val="00932CC7"/>
    <w:rPr>
      <w:sz w:val="20"/>
      <w:szCs w:val="20"/>
    </w:rPr>
  </w:style>
  <w:style w:type="character" w:customStyle="1" w:styleId="CommentTextChar">
    <w:name w:val="Comment Text Char"/>
    <w:link w:val="CommentText"/>
    <w:uiPriority w:val="99"/>
    <w:rsid w:val="00932CC7"/>
    <w:rPr>
      <w:rFonts w:ascii="Times New Roman" w:eastAsia="Times New Roman" w:hAnsi="Times New Roman"/>
      <w:lang w:val="en-CA"/>
    </w:rPr>
  </w:style>
  <w:style w:type="paragraph" w:styleId="CommentSubject">
    <w:name w:val="annotation subject"/>
    <w:basedOn w:val="CommentText"/>
    <w:next w:val="CommentText"/>
    <w:link w:val="CommentSubjectChar"/>
    <w:uiPriority w:val="99"/>
    <w:semiHidden/>
    <w:unhideWhenUsed/>
    <w:rsid w:val="00932CC7"/>
    <w:rPr>
      <w:b/>
      <w:bCs/>
    </w:rPr>
  </w:style>
  <w:style w:type="character" w:customStyle="1" w:styleId="CommentSubjectChar">
    <w:name w:val="Comment Subject Char"/>
    <w:link w:val="CommentSubject"/>
    <w:uiPriority w:val="99"/>
    <w:semiHidden/>
    <w:rsid w:val="00932CC7"/>
    <w:rPr>
      <w:rFonts w:ascii="Times New Roman" w:eastAsia="Times New Roman" w:hAnsi="Times New Roman"/>
      <w:b/>
      <w:bCs/>
      <w:lang w:val="en-CA"/>
    </w:rPr>
  </w:style>
  <w:style w:type="paragraph" w:styleId="BalloonText">
    <w:name w:val="Balloon Text"/>
    <w:basedOn w:val="Normal"/>
    <w:link w:val="BalloonTextChar"/>
    <w:uiPriority w:val="99"/>
    <w:semiHidden/>
    <w:unhideWhenUsed/>
    <w:rsid w:val="00932CC7"/>
    <w:rPr>
      <w:rFonts w:ascii="Tahoma" w:hAnsi="Tahoma" w:cs="Tahoma"/>
      <w:sz w:val="16"/>
      <w:szCs w:val="16"/>
    </w:rPr>
  </w:style>
  <w:style w:type="character" w:customStyle="1" w:styleId="BalloonTextChar">
    <w:name w:val="Balloon Text Char"/>
    <w:link w:val="BalloonText"/>
    <w:uiPriority w:val="99"/>
    <w:semiHidden/>
    <w:rsid w:val="00932CC7"/>
    <w:rPr>
      <w:rFonts w:ascii="Tahoma" w:eastAsia="Times New Roman" w:hAnsi="Tahoma" w:cs="Tahoma"/>
      <w:sz w:val="16"/>
      <w:szCs w:val="16"/>
      <w:lang w:val="en-CA"/>
    </w:rPr>
  </w:style>
  <w:style w:type="paragraph" w:customStyle="1" w:styleId="SubtleEmphasis1">
    <w:name w:val="Subtle Emphasis1"/>
    <w:basedOn w:val="Normal"/>
    <w:uiPriority w:val="34"/>
    <w:rsid w:val="007A2002"/>
    <w:pPr>
      <w:ind w:left="720"/>
      <w:contextualSpacing/>
    </w:pPr>
    <w:rPr>
      <w:rFonts w:eastAsia="Calibri"/>
      <w:lang w:val="en-US"/>
    </w:rPr>
  </w:style>
  <w:style w:type="paragraph" w:styleId="NormalWeb">
    <w:name w:val="Normal (Web)"/>
    <w:basedOn w:val="Normal"/>
    <w:uiPriority w:val="99"/>
    <w:semiHidden/>
    <w:unhideWhenUsed/>
    <w:rsid w:val="00012C82"/>
    <w:pPr>
      <w:spacing w:before="100" w:beforeAutospacing="1" w:after="100" w:afterAutospacing="1"/>
    </w:pPr>
  </w:style>
  <w:style w:type="character" w:customStyle="1" w:styleId="apple-converted-space">
    <w:name w:val="apple-converted-space"/>
    <w:rsid w:val="00012C82"/>
  </w:style>
  <w:style w:type="character" w:styleId="Emphasis">
    <w:name w:val="Emphasis"/>
    <w:uiPriority w:val="20"/>
    <w:qFormat/>
    <w:rsid w:val="003A3F2F"/>
    <w:rPr>
      <w:i/>
      <w:iCs/>
    </w:rPr>
  </w:style>
  <w:style w:type="paragraph" w:styleId="TOC2">
    <w:name w:val="toc 2"/>
    <w:basedOn w:val="Normal"/>
    <w:next w:val="Normal"/>
    <w:autoRedefine/>
    <w:uiPriority w:val="39"/>
    <w:unhideWhenUsed/>
    <w:rsid w:val="00855A70"/>
    <w:pPr>
      <w:ind w:left="240"/>
    </w:pPr>
  </w:style>
  <w:style w:type="paragraph" w:styleId="TOCHeading">
    <w:name w:val="TOC Heading"/>
    <w:basedOn w:val="Heading1"/>
    <w:next w:val="Normal"/>
    <w:uiPriority w:val="39"/>
    <w:unhideWhenUsed/>
    <w:qFormat/>
    <w:rsid w:val="003A3F2F"/>
    <w:pPr>
      <w:outlineLvl w:val="9"/>
    </w:pPr>
  </w:style>
  <w:style w:type="paragraph" w:styleId="TOC1">
    <w:name w:val="toc 1"/>
    <w:basedOn w:val="Normal"/>
    <w:next w:val="Normal"/>
    <w:autoRedefine/>
    <w:uiPriority w:val="39"/>
    <w:unhideWhenUsed/>
    <w:rsid w:val="004F1C17"/>
    <w:pPr>
      <w:tabs>
        <w:tab w:val="left" w:pos="440"/>
        <w:tab w:val="right" w:leader="dot" w:pos="9350"/>
      </w:tabs>
      <w:spacing w:after="100"/>
    </w:pPr>
    <w:rPr>
      <w:rFonts w:eastAsia="MS Mincho" w:cs="Arial"/>
      <w:noProof/>
      <w:lang w:val="en-US" w:eastAsia="ja-JP"/>
    </w:rPr>
  </w:style>
  <w:style w:type="paragraph" w:styleId="TOC3">
    <w:name w:val="toc 3"/>
    <w:basedOn w:val="Normal"/>
    <w:next w:val="Normal"/>
    <w:autoRedefine/>
    <w:uiPriority w:val="39"/>
    <w:unhideWhenUsed/>
    <w:rsid w:val="00855A70"/>
    <w:pPr>
      <w:spacing w:after="100"/>
      <w:ind w:left="440"/>
    </w:pPr>
    <w:rPr>
      <w:rFonts w:eastAsia="MS Mincho" w:cs="Arial"/>
      <w:lang w:val="en-US" w:eastAsia="ja-JP"/>
    </w:rPr>
  </w:style>
  <w:style w:type="character" w:styleId="FollowedHyperlink">
    <w:name w:val="FollowedHyperlink"/>
    <w:uiPriority w:val="99"/>
    <w:semiHidden/>
    <w:unhideWhenUsed/>
    <w:rsid w:val="00887F42"/>
    <w:rPr>
      <w:color w:val="800080"/>
      <w:u w:val="single"/>
    </w:rPr>
  </w:style>
  <w:style w:type="paragraph" w:styleId="Title">
    <w:name w:val="Title"/>
    <w:basedOn w:val="Normal"/>
    <w:next w:val="Normal"/>
    <w:link w:val="TitleChar"/>
    <w:uiPriority w:val="10"/>
    <w:qFormat/>
    <w:rsid w:val="003A3F2F"/>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3A3F2F"/>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3A3F2F"/>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3A3F2F"/>
    <w:rPr>
      <w:rFonts w:ascii="Cambria" w:eastAsia="Times New Roman" w:hAnsi="Cambria" w:cs="Times New Roman"/>
      <w:i/>
      <w:iCs/>
      <w:color w:val="2DA2BF"/>
      <w:spacing w:val="15"/>
      <w:sz w:val="24"/>
      <w:szCs w:val="24"/>
    </w:rPr>
  </w:style>
  <w:style w:type="character" w:styleId="BookTitle">
    <w:name w:val="Book Title"/>
    <w:uiPriority w:val="33"/>
    <w:qFormat/>
    <w:rsid w:val="003A3F2F"/>
    <w:rPr>
      <w:b/>
      <w:bCs/>
      <w:smallCaps/>
      <w:spacing w:val="5"/>
    </w:rPr>
  </w:style>
  <w:style w:type="character" w:customStyle="1" w:styleId="Heading3Char">
    <w:name w:val="Heading 3 Char"/>
    <w:link w:val="Heading3"/>
    <w:uiPriority w:val="9"/>
    <w:rsid w:val="003A3F2F"/>
    <w:rPr>
      <w:rFonts w:ascii="Cambria" w:eastAsia="Times New Roman" w:hAnsi="Cambria" w:cs="Times New Roman"/>
      <w:b/>
      <w:bCs/>
      <w:color w:val="2DA2BF"/>
    </w:rPr>
  </w:style>
  <w:style w:type="character" w:customStyle="1" w:styleId="Heading5Char">
    <w:name w:val="Heading 5 Char"/>
    <w:link w:val="Heading5"/>
    <w:uiPriority w:val="9"/>
    <w:semiHidden/>
    <w:rsid w:val="003A3F2F"/>
    <w:rPr>
      <w:rFonts w:ascii="Cambria" w:eastAsia="Times New Roman" w:hAnsi="Cambria" w:cs="Times New Roman"/>
      <w:color w:val="16505E"/>
    </w:rPr>
  </w:style>
  <w:style w:type="character" w:customStyle="1" w:styleId="Heading6Char">
    <w:name w:val="Heading 6 Char"/>
    <w:link w:val="Heading6"/>
    <w:uiPriority w:val="9"/>
    <w:semiHidden/>
    <w:rsid w:val="003A3F2F"/>
    <w:rPr>
      <w:rFonts w:ascii="Cambria" w:eastAsia="Times New Roman" w:hAnsi="Cambria" w:cs="Times New Roman"/>
      <w:i/>
      <w:iCs/>
      <w:color w:val="16505E"/>
    </w:rPr>
  </w:style>
  <w:style w:type="character" w:customStyle="1" w:styleId="Heading9Char">
    <w:name w:val="Heading 9 Char"/>
    <w:link w:val="Heading9"/>
    <w:uiPriority w:val="9"/>
    <w:semiHidden/>
    <w:rsid w:val="003A3F2F"/>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3A3F2F"/>
    <w:pPr>
      <w:spacing w:line="240" w:lineRule="auto"/>
    </w:pPr>
    <w:rPr>
      <w:b/>
      <w:bCs/>
      <w:color w:val="2DA2BF"/>
      <w:sz w:val="18"/>
      <w:szCs w:val="18"/>
    </w:rPr>
  </w:style>
  <w:style w:type="character" w:styleId="Strong">
    <w:name w:val="Strong"/>
    <w:uiPriority w:val="22"/>
    <w:qFormat/>
    <w:rsid w:val="003A3F2F"/>
    <w:rPr>
      <w:b/>
      <w:bCs/>
    </w:rPr>
  </w:style>
  <w:style w:type="paragraph" w:styleId="NoSpacing">
    <w:name w:val="No Spacing"/>
    <w:uiPriority w:val="1"/>
    <w:qFormat/>
    <w:rsid w:val="003A3F2F"/>
    <w:rPr>
      <w:sz w:val="22"/>
      <w:szCs w:val="22"/>
      <w:lang w:val="en-CA" w:eastAsia="en-CA"/>
    </w:rPr>
  </w:style>
  <w:style w:type="paragraph" w:styleId="Quote">
    <w:name w:val="Quote"/>
    <w:basedOn w:val="Normal"/>
    <w:next w:val="Normal"/>
    <w:link w:val="QuoteChar"/>
    <w:uiPriority w:val="29"/>
    <w:qFormat/>
    <w:rsid w:val="003A3F2F"/>
    <w:rPr>
      <w:i/>
      <w:iCs/>
      <w:color w:val="000000"/>
    </w:rPr>
  </w:style>
  <w:style w:type="character" w:customStyle="1" w:styleId="QuoteChar">
    <w:name w:val="Quote Char"/>
    <w:link w:val="Quote"/>
    <w:uiPriority w:val="29"/>
    <w:rsid w:val="003A3F2F"/>
    <w:rPr>
      <w:i/>
      <w:iCs/>
      <w:color w:val="000000"/>
    </w:rPr>
  </w:style>
  <w:style w:type="paragraph" w:styleId="IntenseQuote">
    <w:name w:val="Intense Quote"/>
    <w:basedOn w:val="Normal"/>
    <w:next w:val="Normal"/>
    <w:link w:val="IntenseQuoteChar"/>
    <w:uiPriority w:val="30"/>
    <w:qFormat/>
    <w:rsid w:val="003A3F2F"/>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3A3F2F"/>
    <w:rPr>
      <w:b/>
      <w:bCs/>
      <w:i/>
      <w:iCs/>
      <w:color w:val="2DA2BF"/>
    </w:rPr>
  </w:style>
  <w:style w:type="character" w:styleId="SubtleEmphasis">
    <w:name w:val="Subtle Emphasis"/>
    <w:uiPriority w:val="19"/>
    <w:qFormat/>
    <w:rsid w:val="003A3F2F"/>
    <w:rPr>
      <w:i/>
      <w:iCs/>
      <w:color w:val="808080"/>
    </w:rPr>
  </w:style>
  <w:style w:type="character" w:styleId="IntenseEmphasis">
    <w:name w:val="Intense Emphasis"/>
    <w:uiPriority w:val="21"/>
    <w:qFormat/>
    <w:rsid w:val="003A3F2F"/>
    <w:rPr>
      <w:b/>
      <w:bCs/>
      <w:i/>
      <w:iCs/>
      <w:color w:val="2DA2BF"/>
    </w:rPr>
  </w:style>
  <w:style w:type="character" w:styleId="SubtleReference">
    <w:name w:val="Subtle Reference"/>
    <w:uiPriority w:val="31"/>
    <w:qFormat/>
    <w:rsid w:val="003A3F2F"/>
    <w:rPr>
      <w:smallCaps/>
      <w:color w:val="DA1F28"/>
      <w:u w:val="single"/>
    </w:rPr>
  </w:style>
  <w:style w:type="character" w:styleId="IntenseReference">
    <w:name w:val="Intense Reference"/>
    <w:uiPriority w:val="32"/>
    <w:qFormat/>
    <w:rsid w:val="003A3F2F"/>
    <w:rPr>
      <w:b/>
      <w:bCs/>
      <w:smallCaps/>
      <w:color w:val="C0504D"/>
      <w:spacing w:val="5"/>
      <w:u w:val="single"/>
    </w:rPr>
  </w:style>
  <w:style w:type="paragraph" w:customStyle="1" w:styleId="Default">
    <w:name w:val="Default"/>
    <w:rsid w:val="00FB53AC"/>
    <w:pPr>
      <w:autoSpaceDE w:val="0"/>
      <w:autoSpaceDN w:val="0"/>
      <w:adjustRightInd w:val="0"/>
    </w:pPr>
    <w:rPr>
      <w:rFonts w:ascii="Times New Roman" w:eastAsia="Calibri" w:hAnsi="Times New Roman"/>
      <w:color w:val="000000"/>
      <w:sz w:val="24"/>
      <w:szCs w:val="24"/>
      <w:lang w:val="en-CA"/>
    </w:rPr>
  </w:style>
  <w:style w:type="paragraph" w:customStyle="1" w:styleId="scjnormal">
    <w:name w:val="scjnormal"/>
    <w:basedOn w:val="Normal"/>
    <w:rsid w:val="00997B63"/>
    <w:pPr>
      <w:spacing w:before="100"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0B5147"/>
    <w:rPr>
      <w:color w:val="605E5C"/>
      <w:shd w:val="clear" w:color="auto" w:fill="E1DFDD"/>
    </w:rPr>
  </w:style>
  <w:style w:type="character" w:styleId="UnresolvedMention">
    <w:name w:val="Unresolved Mention"/>
    <w:basedOn w:val="DefaultParagraphFont"/>
    <w:uiPriority w:val="99"/>
    <w:semiHidden/>
    <w:unhideWhenUsed/>
    <w:rsid w:val="0096271E"/>
    <w:rPr>
      <w:color w:val="605E5C"/>
      <w:shd w:val="clear" w:color="auto" w:fill="E1DFDD"/>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6B49CA"/>
    <w:pPr>
      <w:spacing w:after="160" w:line="240" w:lineRule="exact"/>
    </w:pPr>
    <w:rPr>
      <w:sz w:val="20"/>
      <w:szCs w:val="20"/>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763">
      <w:bodyDiv w:val="1"/>
      <w:marLeft w:val="0"/>
      <w:marRight w:val="0"/>
      <w:marTop w:val="0"/>
      <w:marBottom w:val="0"/>
      <w:divBdr>
        <w:top w:val="none" w:sz="0" w:space="0" w:color="auto"/>
        <w:left w:val="none" w:sz="0" w:space="0" w:color="auto"/>
        <w:bottom w:val="none" w:sz="0" w:space="0" w:color="auto"/>
        <w:right w:val="none" w:sz="0" w:space="0" w:color="auto"/>
      </w:divBdr>
      <w:divsChild>
        <w:div w:id="19797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23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15176">
      <w:bodyDiv w:val="1"/>
      <w:marLeft w:val="0"/>
      <w:marRight w:val="0"/>
      <w:marTop w:val="0"/>
      <w:marBottom w:val="0"/>
      <w:divBdr>
        <w:top w:val="none" w:sz="0" w:space="0" w:color="auto"/>
        <w:left w:val="none" w:sz="0" w:space="0" w:color="auto"/>
        <w:bottom w:val="none" w:sz="0" w:space="0" w:color="auto"/>
        <w:right w:val="none" w:sz="0" w:space="0" w:color="auto"/>
      </w:divBdr>
    </w:div>
    <w:div w:id="115490357">
      <w:bodyDiv w:val="1"/>
      <w:marLeft w:val="0"/>
      <w:marRight w:val="0"/>
      <w:marTop w:val="0"/>
      <w:marBottom w:val="0"/>
      <w:divBdr>
        <w:top w:val="none" w:sz="0" w:space="0" w:color="auto"/>
        <w:left w:val="none" w:sz="0" w:space="0" w:color="auto"/>
        <w:bottom w:val="none" w:sz="0" w:space="0" w:color="auto"/>
        <w:right w:val="none" w:sz="0" w:space="0" w:color="auto"/>
      </w:divBdr>
    </w:div>
    <w:div w:id="154884702">
      <w:bodyDiv w:val="1"/>
      <w:marLeft w:val="0"/>
      <w:marRight w:val="0"/>
      <w:marTop w:val="0"/>
      <w:marBottom w:val="0"/>
      <w:divBdr>
        <w:top w:val="none" w:sz="0" w:space="0" w:color="auto"/>
        <w:left w:val="none" w:sz="0" w:space="0" w:color="auto"/>
        <w:bottom w:val="none" w:sz="0" w:space="0" w:color="auto"/>
        <w:right w:val="none" w:sz="0" w:space="0" w:color="auto"/>
      </w:divBdr>
    </w:div>
    <w:div w:id="547686100">
      <w:bodyDiv w:val="1"/>
      <w:marLeft w:val="0"/>
      <w:marRight w:val="0"/>
      <w:marTop w:val="0"/>
      <w:marBottom w:val="0"/>
      <w:divBdr>
        <w:top w:val="none" w:sz="0" w:space="0" w:color="auto"/>
        <w:left w:val="none" w:sz="0" w:space="0" w:color="auto"/>
        <w:bottom w:val="none" w:sz="0" w:space="0" w:color="auto"/>
        <w:right w:val="none" w:sz="0" w:space="0" w:color="auto"/>
      </w:divBdr>
    </w:div>
    <w:div w:id="553663078">
      <w:bodyDiv w:val="1"/>
      <w:marLeft w:val="0"/>
      <w:marRight w:val="0"/>
      <w:marTop w:val="0"/>
      <w:marBottom w:val="0"/>
      <w:divBdr>
        <w:top w:val="none" w:sz="0" w:space="0" w:color="auto"/>
        <w:left w:val="none" w:sz="0" w:space="0" w:color="auto"/>
        <w:bottom w:val="none" w:sz="0" w:space="0" w:color="auto"/>
        <w:right w:val="none" w:sz="0" w:space="0" w:color="auto"/>
      </w:divBdr>
    </w:div>
    <w:div w:id="667484545">
      <w:bodyDiv w:val="1"/>
      <w:marLeft w:val="0"/>
      <w:marRight w:val="0"/>
      <w:marTop w:val="0"/>
      <w:marBottom w:val="0"/>
      <w:divBdr>
        <w:top w:val="none" w:sz="0" w:space="0" w:color="auto"/>
        <w:left w:val="none" w:sz="0" w:space="0" w:color="auto"/>
        <w:bottom w:val="none" w:sz="0" w:space="0" w:color="auto"/>
        <w:right w:val="none" w:sz="0" w:space="0" w:color="auto"/>
      </w:divBdr>
    </w:div>
    <w:div w:id="753556234">
      <w:bodyDiv w:val="1"/>
      <w:marLeft w:val="0"/>
      <w:marRight w:val="0"/>
      <w:marTop w:val="0"/>
      <w:marBottom w:val="0"/>
      <w:divBdr>
        <w:top w:val="none" w:sz="0" w:space="0" w:color="auto"/>
        <w:left w:val="none" w:sz="0" w:space="0" w:color="auto"/>
        <w:bottom w:val="none" w:sz="0" w:space="0" w:color="auto"/>
        <w:right w:val="none" w:sz="0" w:space="0" w:color="auto"/>
      </w:divBdr>
    </w:div>
    <w:div w:id="885794935">
      <w:bodyDiv w:val="1"/>
      <w:marLeft w:val="0"/>
      <w:marRight w:val="0"/>
      <w:marTop w:val="0"/>
      <w:marBottom w:val="0"/>
      <w:divBdr>
        <w:top w:val="none" w:sz="0" w:space="0" w:color="auto"/>
        <w:left w:val="none" w:sz="0" w:space="0" w:color="auto"/>
        <w:bottom w:val="none" w:sz="0" w:space="0" w:color="auto"/>
        <w:right w:val="none" w:sz="0" w:space="0" w:color="auto"/>
      </w:divBdr>
    </w:div>
    <w:div w:id="1116100530">
      <w:bodyDiv w:val="1"/>
      <w:marLeft w:val="0"/>
      <w:marRight w:val="0"/>
      <w:marTop w:val="0"/>
      <w:marBottom w:val="0"/>
      <w:divBdr>
        <w:top w:val="none" w:sz="0" w:space="0" w:color="auto"/>
        <w:left w:val="none" w:sz="0" w:space="0" w:color="auto"/>
        <w:bottom w:val="none" w:sz="0" w:space="0" w:color="auto"/>
        <w:right w:val="none" w:sz="0" w:space="0" w:color="auto"/>
      </w:divBdr>
    </w:div>
    <w:div w:id="1377318390">
      <w:bodyDiv w:val="1"/>
      <w:marLeft w:val="0"/>
      <w:marRight w:val="0"/>
      <w:marTop w:val="0"/>
      <w:marBottom w:val="0"/>
      <w:divBdr>
        <w:top w:val="none" w:sz="0" w:space="0" w:color="auto"/>
        <w:left w:val="none" w:sz="0" w:space="0" w:color="auto"/>
        <w:bottom w:val="none" w:sz="0" w:space="0" w:color="auto"/>
        <w:right w:val="none" w:sz="0" w:space="0" w:color="auto"/>
      </w:divBdr>
    </w:div>
    <w:div w:id="1511868092">
      <w:bodyDiv w:val="1"/>
      <w:marLeft w:val="0"/>
      <w:marRight w:val="0"/>
      <w:marTop w:val="0"/>
      <w:marBottom w:val="0"/>
      <w:divBdr>
        <w:top w:val="none" w:sz="0" w:space="0" w:color="auto"/>
        <w:left w:val="none" w:sz="0" w:space="0" w:color="auto"/>
        <w:bottom w:val="none" w:sz="0" w:space="0" w:color="auto"/>
        <w:right w:val="none" w:sz="0" w:space="0" w:color="auto"/>
      </w:divBdr>
    </w:div>
    <w:div w:id="1677076057">
      <w:bodyDiv w:val="1"/>
      <w:marLeft w:val="0"/>
      <w:marRight w:val="0"/>
      <w:marTop w:val="0"/>
      <w:marBottom w:val="0"/>
      <w:divBdr>
        <w:top w:val="none" w:sz="0" w:space="0" w:color="auto"/>
        <w:left w:val="none" w:sz="0" w:space="0" w:color="auto"/>
        <w:bottom w:val="none" w:sz="0" w:space="0" w:color="auto"/>
        <w:right w:val="none" w:sz="0" w:space="0" w:color="auto"/>
      </w:divBdr>
    </w:div>
    <w:div w:id="1816603721">
      <w:bodyDiv w:val="1"/>
      <w:marLeft w:val="0"/>
      <w:marRight w:val="0"/>
      <w:marTop w:val="0"/>
      <w:marBottom w:val="0"/>
      <w:divBdr>
        <w:top w:val="none" w:sz="0" w:space="0" w:color="auto"/>
        <w:left w:val="none" w:sz="0" w:space="0" w:color="auto"/>
        <w:bottom w:val="none" w:sz="0" w:space="0" w:color="auto"/>
        <w:right w:val="none" w:sz="0" w:space="0" w:color="auto"/>
      </w:divBdr>
    </w:div>
    <w:div w:id="1875728244">
      <w:bodyDiv w:val="1"/>
      <w:marLeft w:val="0"/>
      <w:marRight w:val="0"/>
      <w:marTop w:val="0"/>
      <w:marBottom w:val="0"/>
      <w:divBdr>
        <w:top w:val="none" w:sz="0" w:space="0" w:color="auto"/>
        <w:left w:val="none" w:sz="0" w:space="0" w:color="auto"/>
        <w:bottom w:val="none" w:sz="0" w:space="0" w:color="auto"/>
        <w:right w:val="none" w:sz="0" w:space="0" w:color="auto"/>
      </w:divBdr>
    </w:div>
    <w:div w:id="1899199868">
      <w:bodyDiv w:val="1"/>
      <w:marLeft w:val="0"/>
      <w:marRight w:val="0"/>
      <w:marTop w:val="0"/>
      <w:marBottom w:val="0"/>
      <w:divBdr>
        <w:top w:val="none" w:sz="0" w:space="0" w:color="auto"/>
        <w:left w:val="none" w:sz="0" w:space="0" w:color="auto"/>
        <w:bottom w:val="none" w:sz="0" w:space="0" w:color="auto"/>
        <w:right w:val="none" w:sz="0" w:space="0" w:color="auto"/>
      </w:divBdr>
    </w:div>
    <w:div w:id="19332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tice.gc.ca/eng/csj-sjc/principles2-principes2.html" TargetMode="External"/><Relationship Id="rId13" Type="http://schemas.openxmlformats.org/officeDocument/2006/relationships/hyperlink" Target="http://www.socialrights.ca/2018/D234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nlii.ca/t/fm4v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cialrightscura.ca/documents/archive/Alternative%20Social%20Charter.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gc.ca/eng/csj-sjc/principles2-principes2.html" TargetMode="External"/><Relationship Id="rId5" Type="http://schemas.openxmlformats.org/officeDocument/2006/relationships/webSettings" Target="webSettings.xml"/><Relationship Id="rId15" Type="http://schemas.openxmlformats.org/officeDocument/2006/relationships/hyperlink" Target="https://laws-lois.justice.gc.ca/eng/acts/N-11.2/FullText.html" TargetMode="External"/><Relationship Id="rId10" Type="http://schemas.openxmlformats.org/officeDocument/2006/relationships/hyperlink" Target="https://www.justice.gc.ca/eng/csj-sjc/principles2-principes2.html" TargetMode="External"/><Relationship Id="rId4" Type="http://schemas.openxmlformats.org/officeDocument/2006/relationships/settings" Target="settings.xml"/><Relationship Id="rId9" Type="http://schemas.openxmlformats.org/officeDocument/2006/relationships/hyperlink" Target="https://www.justice.gc.ca/eng/csj-sjc/principles2-principes2.html" TargetMode="External"/><Relationship Id="rId14" Type="http://schemas.openxmlformats.org/officeDocument/2006/relationships/hyperlink" Target="http://www.socialrights.ca/2019/ToussaintReply2d.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cics.ca/en/product-produit/agreement-a-framework-to-improve-the-social-union-for-canadians/" TargetMode="External"/><Relationship Id="rId3" Type="http://schemas.openxmlformats.org/officeDocument/2006/relationships/hyperlink" Target="http://www.socialrightscura.ca/documents/legal/tousaint%20IFBH/Canada%20-%20Submissions%20on%20Merits.pdf" TargetMode="External"/><Relationship Id="rId7" Type="http://schemas.openxmlformats.org/officeDocument/2006/relationships/hyperlink" Target="https://scics.ca/en/product-produit/news-release-federal-provincial-and-territorial-ministers-from-across-the-country-gather-to-discuss-human-rights/" TargetMode="External"/><Relationship Id="rId2" Type="http://schemas.openxmlformats.org/officeDocument/2006/relationships/hyperlink" Target="http://www.socialrights.ca/2019/Handbook-mjbp.pdf" TargetMode="External"/><Relationship Id="rId1" Type="http://schemas.openxmlformats.org/officeDocument/2006/relationships/hyperlink" Target="http://socialrights.ca/" TargetMode="External"/><Relationship Id="rId6" Type="http://schemas.openxmlformats.org/officeDocument/2006/relationships/hyperlink" Target="https://humanrights.novascotia.ca/sites/default/files/editor-uploads/maclean_et_al_decision.pdf" TargetMode="External"/><Relationship Id="rId5" Type="http://schemas.openxmlformats.org/officeDocument/2006/relationships/hyperlink" Target="http://canlii.ca/t/gn2vg" TargetMode="External"/><Relationship Id="rId4" Type="http://schemas.openxmlformats.org/officeDocument/2006/relationships/hyperlink" Target="http://docstore.ohchr.org/SelfServices/FilesHandler.ashx?enc=6QkG1d%2fPPRiCAqhKb7yhsjvfIjqiI84ZFd1DNP1S9EJVTcVMMfawTKJ%2bRXq2O5JWTSgTnqTy75GKOXxb7hx6EgOYtEQpL%2fn7H%2ba40d%2fy1OhDH4yp%2fxehzNz84uJ8jkp8m7LRbh%2fvLq4Ws4ZAftBuA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8B52-9A34-4D5C-915D-47BC82FA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3683</Words>
  <Characters>20998</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vt:lpstr>
      <vt:lpstr>    INTRODUCTION</vt:lpstr>
      <vt:lpstr>    Who we are:</vt:lpstr>
      <vt:lpstr>    Overview. Domestic Implementation of the Covenant in the Canadian Legal System. </vt:lpstr>
      <vt:lpstr>    ENSURING ACCESS TO JUSTICE AND EFFECTIVE REMEDIES FOR ESC RIGHTS UNDER THE CANAD</vt:lpstr>
      <vt:lpstr>    Protection of ESC Rights Through Inclusive Interpretations of rights under the C</vt:lpstr>
      <vt:lpstr>    Principles Guiding the Attorney General of Canada in Charter Litigation</vt:lpstr>
      <vt:lpstr>    </vt:lpstr>
      <vt:lpstr>    Accountability of the independent judiciary and administrative tribunals regardi</vt:lpstr>
      <vt:lpstr>    </vt:lpstr>
      <vt:lpstr>    </vt:lpstr>
      <vt:lpstr>    The protection of the right to life in access to private and public health care </vt:lpstr>
      <vt:lpstr>    Reconsidering Canada’s Response to the Decision of the Human Rights Committee in</vt:lpstr>
      <vt:lpstr>    FEDERAL AND PROVINCIAL/TERRITORIAL HUMAN RIGHTS LEGISLATION</vt:lpstr>
      <vt:lpstr>    ESC rights in human rights legislation</vt:lpstr>
      <vt:lpstr>    Failure to Provide Effective Systemic Remedies when Adequate Supports and Servic</vt:lpstr>
      <vt:lpstr>    INTER-GOVERNMENTAL INITIATIVES AND FRAMEWORKS FOR ACCESS TO JUSTICE </vt:lpstr>
      <vt:lpstr>    Follow-up to Inter-Ministerial Meeting of December 11-12, 2017</vt:lpstr>
      <vt:lpstr>    Mechanisms for Implementing Covenant rights and following-up on Concluding Obser</vt:lpstr>
      <vt:lpstr>    Ensuring Access to Effective Systemic Remedies Through Rights Based Strategies</vt:lpstr>
      <vt:lpstr>    Inter-Governmental Framework Agreement to Guarantee ESC rights </vt:lpstr>
      <vt:lpstr>    </vt:lpstr>
      <vt:lpstr>    CIVIL LEGAL AID, TEST CASE FUNDING AND THE COURT CHALLENGES PROGRAM</vt:lpstr>
    </vt:vector>
  </TitlesOfParts>
  <Company/>
  <LinksUpToDate>false</LinksUpToDate>
  <CharactersWithSpaces>24632</CharactersWithSpaces>
  <SharedDoc>false</SharedDoc>
  <HLinks>
    <vt:vector size="96" baseType="variant">
      <vt:variant>
        <vt:i4>1835061</vt:i4>
      </vt:variant>
      <vt:variant>
        <vt:i4>97</vt:i4>
      </vt:variant>
      <vt:variant>
        <vt:i4>0</vt:i4>
      </vt:variant>
      <vt:variant>
        <vt:i4>5</vt:i4>
      </vt:variant>
      <vt:variant>
        <vt:lpwstr/>
      </vt:variant>
      <vt:variant>
        <vt:lpwstr>_Toc495062203</vt:lpwstr>
      </vt:variant>
      <vt:variant>
        <vt:i4>1835061</vt:i4>
      </vt:variant>
      <vt:variant>
        <vt:i4>91</vt:i4>
      </vt:variant>
      <vt:variant>
        <vt:i4>0</vt:i4>
      </vt:variant>
      <vt:variant>
        <vt:i4>5</vt:i4>
      </vt:variant>
      <vt:variant>
        <vt:lpwstr/>
      </vt:variant>
      <vt:variant>
        <vt:lpwstr>_Toc495062202</vt:lpwstr>
      </vt:variant>
      <vt:variant>
        <vt:i4>1835061</vt:i4>
      </vt:variant>
      <vt:variant>
        <vt:i4>85</vt:i4>
      </vt:variant>
      <vt:variant>
        <vt:i4>0</vt:i4>
      </vt:variant>
      <vt:variant>
        <vt:i4>5</vt:i4>
      </vt:variant>
      <vt:variant>
        <vt:lpwstr/>
      </vt:variant>
      <vt:variant>
        <vt:lpwstr>_Toc495062201</vt:lpwstr>
      </vt:variant>
      <vt:variant>
        <vt:i4>1835061</vt:i4>
      </vt:variant>
      <vt:variant>
        <vt:i4>79</vt:i4>
      </vt:variant>
      <vt:variant>
        <vt:i4>0</vt:i4>
      </vt:variant>
      <vt:variant>
        <vt:i4>5</vt:i4>
      </vt:variant>
      <vt:variant>
        <vt:lpwstr/>
      </vt:variant>
      <vt:variant>
        <vt:lpwstr>_Toc495062200</vt:lpwstr>
      </vt:variant>
      <vt:variant>
        <vt:i4>1376310</vt:i4>
      </vt:variant>
      <vt:variant>
        <vt:i4>73</vt:i4>
      </vt:variant>
      <vt:variant>
        <vt:i4>0</vt:i4>
      </vt:variant>
      <vt:variant>
        <vt:i4>5</vt:i4>
      </vt:variant>
      <vt:variant>
        <vt:lpwstr/>
      </vt:variant>
      <vt:variant>
        <vt:lpwstr>_Toc495062199</vt:lpwstr>
      </vt:variant>
      <vt:variant>
        <vt:i4>1376310</vt:i4>
      </vt:variant>
      <vt:variant>
        <vt:i4>67</vt:i4>
      </vt:variant>
      <vt:variant>
        <vt:i4>0</vt:i4>
      </vt:variant>
      <vt:variant>
        <vt:i4>5</vt:i4>
      </vt:variant>
      <vt:variant>
        <vt:lpwstr/>
      </vt:variant>
      <vt:variant>
        <vt:lpwstr>_Toc495062198</vt:lpwstr>
      </vt:variant>
      <vt:variant>
        <vt:i4>1376310</vt:i4>
      </vt:variant>
      <vt:variant>
        <vt:i4>61</vt:i4>
      </vt:variant>
      <vt:variant>
        <vt:i4>0</vt:i4>
      </vt:variant>
      <vt:variant>
        <vt:i4>5</vt:i4>
      </vt:variant>
      <vt:variant>
        <vt:lpwstr/>
      </vt:variant>
      <vt:variant>
        <vt:lpwstr>_Toc495062197</vt:lpwstr>
      </vt:variant>
      <vt:variant>
        <vt:i4>1376310</vt:i4>
      </vt:variant>
      <vt:variant>
        <vt:i4>55</vt:i4>
      </vt:variant>
      <vt:variant>
        <vt:i4>0</vt:i4>
      </vt:variant>
      <vt:variant>
        <vt:i4>5</vt:i4>
      </vt:variant>
      <vt:variant>
        <vt:lpwstr/>
      </vt:variant>
      <vt:variant>
        <vt:lpwstr>_Toc495062196</vt:lpwstr>
      </vt:variant>
      <vt:variant>
        <vt:i4>1376310</vt:i4>
      </vt:variant>
      <vt:variant>
        <vt:i4>49</vt:i4>
      </vt:variant>
      <vt:variant>
        <vt:i4>0</vt:i4>
      </vt:variant>
      <vt:variant>
        <vt:i4>5</vt:i4>
      </vt:variant>
      <vt:variant>
        <vt:lpwstr/>
      </vt:variant>
      <vt:variant>
        <vt:lpwstr>_Toc495062195</vt:lpwstr>
      </vt:variant>
      <vt:variant>
        <vt:i4>1376310</vt:i4>
      </vt:variant>
      <vt:variant>
        <vt:i4>43</vt:i4>
      </vt:variant>
      <vt:variant>
        <vt:i4>0</vt:i4>
      </vt:variant>
      <vt:variant>
        <vt:i4>5</vt:i4>
      </vt:variant>
      <vt:variant>
        <vt:lpwstr/>
      </vt:variant>
      <vt:variant>
        <vt:lpwstr>_Toc495062194</vt:lpwstr>
      </vt:variant>
      <vt:variant>
        <vt:i4>1376310</vt:i4>
      </vt:variant>
      <vt:variant>
        <vt:i4>37</vt:i4>
      </vt:variant>
      <vt:variant>
        <vt:i4>0</vt:i4>
      </vt:variant>
      <vt:variant>
        <vt:i4>5</vt:i4>
      </vt:variant>
      <vt:variant>
        <vt:lpwstr/>
      </vt:variant>
      <vt:variant>
        <vt:lpwstr>_Toc495062193</vt:lpwstr>
      </vt:variant>
      <vt:variant>
        <vt:i4>1376310</vt:i4>
      </vt:variant>
      <vt:variant>
        <vt:i4>31</vt:i4>
      </vt:variant>
      <vt:variant>
        <vt:i4>0</vt:i4>
      </vt:variant>
      <vt:variant>
        <vt:i4>5</vt:i4>
      </vt:variant>
      <vt:variant>
        <vt:lpwstr/>
      </vt:variant>
      <vt:variant>
        <vt:lpwstr>_Toc495062192</vt:lpwstr>
      </vt:variant>
      <vt:variant>
        <vt:i4>1376310</vt:i4>
      </vt:variant>
      <vt:variant>
        <vt:i4>25</vt:i4>
      </vt:variant>
      <vt:variant>
        <vt:i4>0</vt:i4>
      </vt:variant>
      <vt:variant>
        <vt:i4>5</vt:i4>
      </vt:variant>
      <vt:variant>
        <vt:lpwstr/>
      </vt:variant>
      <vt:variant>
        <vt:lpwstr>_Toc495062191</vt:lpwstr>
      </vt:variant>
      <vt:variant>
        <vt:i4>1376310</vt:i4>
      </vt:variant>
      <vt:variant>
        <vt:i4>19</vt:i4>
      </vt:variant>
      <vt:variant>
        <vt:i4>0</vt:i4>
      </vt:variant>
      <vt:variant>
        <vt:i4>5</vt:i4>
      </vt:variant>
      <vt:variant>
        <vt:lpwstr/>
      </vt:variant>
      <vt:variant>
        <vt:lpwstr>_Toc495062190</vt:lpwstr>
      </vt:variant>
      <vt:variant>
        <vt:i4>1310774</vt:i4>
      </vt:variant>
      <vt:variant>
        <vt:i4>13</vt:i4>
      </vt:variant>
      <vt:variant>
        <vt:i4>0</vt:i4>
      </vt:variant>
      <vt:variant>
        <vt:i4>5</vt:i4>
      </vt:variant>
      <vt:variant>
        <vt:lpwstr/>
      </vt:variant>
      <vt:variant>
        <vt:lpwstr>_Toc495062189</vt:lpwstr>
      </vt:variant>
      <vt:variant>
        <vt:i4>1310774</vt:i4>
      </vt:variant>
      <vt:variant>
        <vt:i4>7</vt:i4>
      </vt:variant>
      <vt:variant>
        <vt:i4>0</vt:i4>
      </vt:variant>
      <vt:variant>
        <vt:i4>5</vt:i4>
      </vt:variant>
      <vt:variant>
        <vt:lpwstr/>
      </vt:variant>
      <vt:variant>
        <vt:lpwstr>_Toc495062188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2022-09-27T23:11:00Z</dcterms:created>
  <dcterms:modified xsi:type="dcterms:W3CDTF">2022-09-27T23:11:00Z</dcterms:modified>
</cp:coreProperties>
</file>